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35B2" w14:textId="77777777" w:rsidR="00EF16F8" w:rsidRDefault="003930A9">
      <w:pPr>
        <w:spacing w:line="360" w:lineRule="auto"/>
        <w:ind w:right="30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Эффективность применения низкокалорийных диет для лечения пациентов с ожирением.</w:t>
      </w:r>
    </w:p>
    <w:p w14:paraId="6862B392" w14:textId="1A8B0705" w:rsidR="00EF16F8" w:rsidRDefault="00DE0812" w:rsidP="00DE0812">
      <w:pPr>
        <w:spacing w:line="360" w:lineRule="auto"/>
        <w:ind w:right="300"/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</w:rPr>
      </w:pPr>
      <w:r w:rsidRPr="0074333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Авторы:</w:t>
      </w:r>
      <w:r w:rsidRPr="0074333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930A9">
        <w:rPr>
          <w:rFonts w:ascii="Times New Roman" w:eastAsia="Times New Roman" w:hAnsi="Times New Roman" w:cs="Times New Roman"/>
          <w:color w:val="111111"/>
          <w:sz w:val="24"/>
          <w:szCs w:val="24"/>
        </w:rPr>
        <w:t>Трошина Е.А., Комшилова К.А., Силина Н.В., Ершова Е.В.</w:t>
      </w:r>
    </w:p>
    <w:p w14:paraId="72155FAE" w14:textId="77777777" w:rsidR="001559FD" w:rsidRDefault="001559FD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638C534" w14:textId="77777777" w:rsidR="00DE0812" w:rsidRPr="00743339" w:rsidRDefault="00DE0812" w:rsidP="00DE0812">
      <w:pPr>
        <w:spacing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33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Организация: </w:t>
      </w:r>
      <w:r w:rsidRPr="0074333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Государственный научный центр Российской Федерации Федеральное государственное бюджетное учреждение «Национальный медицинский исследовательский центр эндокринологии» Министерства здравоохранения Российской Федерации, Москва, Россия</w:t>
      </w:r>
    </w:p>
    <w:p w14:paraId="01168628" w14:textId="77777777" w:rsidR="001559FD" w:rsidRDefault="001559F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1C2673F" w14:textId="39049D62" w:rsidR="00EF16F8" w:rsidRDefault="003930A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Резюме:</w:t>
      </w:r>
    </w:p>
    <w:p w14:paraId="19FF9330" w14:textId="2203BBA2" w:rsidR="004D611D" w:rsidRPr="00DE0812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Ожирение представляет собой многофакторную патологию, ассоциированную с комплексом метаболических нарушений, что обусловливает высокую социальную значимость данной патологии. Основную роль в снижении массы тела занимают диетологические рекомендации - снижение калорийности рациона питания, в связи с чем в настоящее время </w:t>
      </w:r>
      <w:r w:rsidR="004156EE" w:rsidRPr="00DE0812">
        <w:rPr>
          <w:rFonts w:ascii="Times New Roman" w:eastAsia="Times New Roman" w:hAnsi="Times New Roman" w:cs="Times New Roman"/>
          <w:i/>
          <w:sz w:val="24"/>
          <w:szCs w:val="24"/>
        </w:rPr>
        <w:t>уделяется</w:t>
      </w:r>
      <w:r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 большое внимание эффективным программам снижения массы тела. Крайне важно не только назначать медикаментозную терапию </w:t>
      </w:r>
      <w:r w:rsidR="004156EE"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по поводу </w:t>
      </w:r>
      <w:r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имеющихся нарушений обмена веществ, но и как можно раньше </w:t>
      </w:r>
      <w:r w:rsidR="004156EE" w:rsidRPr="00DE0812">
        <w:rPr>
          <w:rFonts w:ascii="Times New Roman" w:eastAsia="Times New Roman" w:hAnsi="Times New Roman" w:cs="Times New Roman"/>
          <w:i/>
          <w:sz w:val="24"/>
          <w:szCs w:val="24"/>
        </w:rPr>
        <w:t>рекомендовать</w:t>
      </w:r>
      <w:r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 пациенту </w:t>
      </w:r>
      <w:r w:rsidR="004156EE"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рациональную </w:t>
      </w:r>
      <w:r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низкокалорийную диету для эффективного </w:t>
      </w:r>
      <w:r w:rsidR="004156EE"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и безопасного </w:t>
      </w:r>
      <w:r w:rsidRPr="00DE0812">
        <w:rPr>
          <w:rFonts w:ascii="Times New Roman" w:eastAsia="Times New Roman" w:hAnsi="Times New Roman" w:cs="Times New Roman"/>
          <w:i/>
          <w:sz w:val="24"/>
          <w:szCs w:val="24"/>
        </w:rPr>
        <w:t>снижения массы тела. Данные многочисленных исследований демонстрируют эффективность применения низкокалорийных и очень низкокалорийных диет в лечении ожирения</w:t>
      </w:r>
      <w:r w:rsidR="005A2A52"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, соблюдение которых у пациентов часто вызывает определенные трудности, </w:t>
      </w:r>
      <w:r w:rsidR="004156EE" w:rsidRPr="00DE0812">
        <w:rPr>
          <w:rFonts w:ascii="Times New Roman" w:eastAsia="Times New Roman" w:hAnsi="Times New Roman" w:cs="Times New Roman"/>
          <w:i/>
          <w:sz w:val="24"/>
          <w:szCs w:val="24"/>
        </w:rPr>
        <w:t>обусловленные</w:t>
      </w:r>
      <w:r w:rsidR="004D611D"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 необходимостью </w:t>
      </w:r>
      <w:r w:rsidR="00CF03E6"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сохранения </w:t>
      </w:r>
      <w:proofErr w:type="spellStart"/>
      <w:r w:rsidR="00CF03E6" w:rsidRPr="00DE0812">
        <w:rPr>
          <w:rFonts w:ascii="Times New Roman" w:eastAsia="Times New Roman" w:hAnsi="Times New Roman" w:cs="Times New Roman"/>
          <w:i/>
          <w:sz w:val="24"/>
          <w:szCs w:val="24"/>
        </w:rPr>
        <w:t>нутритивной</w:t>
      </w:r>
      <w:proofErr w:type="spellEnd"/>
      <w:r w:rsidR="00CF03E6"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 ценности рациона и </w:t>
      </w:r>
      <w:r w:rsidR="004D611D" w:rsidRPr="00DE0812">
        <w:rPr>
          <w:rFonts w:ascii="Times New Roman" w:eastAsia="Times New Roman" w:hAnsi="Times New Roman" w:cs="Times New Roman"/>
          <w:i/>
          <w:sz w:val="24"/>
          <w:szCs w:val="24"/>
        </w:rPr>
        <w:t>сбаланси</w:t>
      </w:r>
      <w:r w:rsidR="004D611D" w:rsidRPr="00DE0812">
        <w:rPr>
          <w:rFonts w:ascii="Times New Roman" w:eastAsia="Times New Roman" w:hAnsi="Times New Roman" w:cs="Times New Roman"/>
          <w:i/>
          <w:sz w:val="24"/>
          <w:szCs w:val="24"/>
        </w:rPr>
        <w:softHyphen/>
        <w:t>рованного подбора макро- и микронутриентов</w:t>
      </w:r>
      <w:r w:rsidR="00CF03E6"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5A2A52" w:rsidRPr="00DE0812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4D611D" w:rsidRPr="00DE0812">
        <w:rPr>
          <w:rFonts w:ascii="Times New Roman" w:eastAsia="Times New Roman" w:hAnsi="Times New Roman" w:cs="Times New Roman"/>
          <w:i/>
          <w:sz w:val="24"/>
          <w:szCs w:val="24"/>
        </w:rPr>
        <w:t>лительно</w:t>
      </w:r>
      <w:r w:rsidR="005A2A52" w:rsidRPr="00DE0812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4D611D"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применени</w:t>
      </w:r>
      <w:r w:rsidR="005A2A52" w:rsidRPr="00DE0812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4D611D"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 редуцированных диет м</w:t>
      </w:r>
      <w:r w:rsidR="005A2A52"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ожет привести к развитию гиповитаминозов, </w:t>
      </w:r>
      <w:r w:rsidR="004D611D" w:rsidRPr="00DE0812">
        <w:rPr>
          <w:rFonts w:ascii="Times New Roman" w:eastAsia="Times New Roman" w:hAnsi="Times New Roman" w:cs="Times New Roman"/>
          <w:i/>
          <w:sz w:val="24"/>
          <w:szCs w:val="24"/>
        </w:rPr>
        <w:t>недостатку пищевых волокон или с</w:t>
      </w:r>
      <w:r w:rsidR="00CF03E6" w:rsidRPr="00DE0812">
        <w:rPr>
          <w:rFonts w:ascii="Times New Roman" w:eastAsia="Times New Roman" w:hAnsi="Times New Roman" w:cs="Times New Roman"/>
          <w:i/>
          <w:sz w:val="24"/>
          <w:szCs w:val="24"/>
        </w:rPr>
        <w:t>нижению потребления</w:t>
      </w:r>
      <w:r w:rsidR="004D611D"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 белка.</w:t>
      </w:r>
    </w:p>
    <w:p w14:paraId="7CBE4DDC" w14:textId="4FE30E74" w:rsidR="00EF16F8" w:rsidRPr="00DE0812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812">
        <w:rPr>
          <w:rFonts w:ascii="Times New Roman" w:eastAsia="Times New Roman" w:hAnsi="Times New Roman" w:cs="Times New Roman"/>
          <w:i/>
          <w:sz w:val="24"/>
          <w:szCs w:val="24"/>
        </w:rPr>
        <w:t>В 2024 году на российском рынке появился новый продукт сбалансированного низкокалорийного питания ОПТИФАСТ</w:t>
      </w:r>
      <w:r w:rsidR="00425756"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1559FD"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OPTIFAST®, </w:t>
      </w:r>
      <w:r w:rsidR="00425756"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компания </w:t>
      </w:r>
      <w:proofErr w:type="spellStart"/>
      <w:r w:rsidR="004D611D" w:rsidRPr="00DE0812">
        <w:rPr>
          <w:rFonts w:ascii="Times New Roman" w:eastAsia="Times New Roman" w:hAnsi="Times New Roman" w:cs="Times New Roman"/>
          <w:i/>
          <w:sz w:val="24"/>
          <w:szCs w:val="24"/>
        </w:rPr>
        <w:t>Nestlé</w:t>
      </w:r>
      <w:proofErr w:type="spellEnd"/>
      <w:r w:rsidR="004D611D"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 Health Science, Германия</w:t>
      </w:r>
      <w:r w:rsidR="00425756" w:rsidRPr="00DE081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который обеспечивает пациента всеми необходимыми питательными веществами и позволяет управлять суточным </w:t>
      </w:r>
      <w:proofErr w:type="spellStart"/>
      <w:r w:rsidRPr="00DE0812">
        <w:rPr>
          <w:rFonts w:ascii="Times New Roman" w:eastAsia="Times New Roman" w:hAnsi="Times New Roman" w:cs="Times New Roman"/>
          <w:i/>
          <w:sz w:val="24"/>
          <w:szCs w:val="24"/>
        </w:rPr>
        <w:t>калоражем</w:t>
      </w:r>
      <w:proofErr w:type="spellEnd"/>
      <w:r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, дает пациенту чувство сытости, необходимое для высокой приверженности низкокалорийной диете, что </w:t>
      </w:r>
      <w:r w:rsidR="00004DDD" w:rsidRPr="00DE0812">
        <w:rPr>
          <w:rFonts w:ascii="Times New Roman" w:eastAsia="Times New Roman" w:hAnsi="Times New Roman" w:cs="Times New Roman"/>
          <w:i/>
          <w:sz w:val="24"/>
          <w:szCs w:val="24"/>
        </w:rPr>
        <w:t>обеспечивает</w:t>
      </w:r>
      <w:r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 эффективное и безопасное снижение </w:t>
      </w:r>
      <w:r w:rsidR="00004DDD" w:rsidRPr="00DE0812">
        <w:rPr>
          <w:rFonts w:ascii="Times New Roman" w:eastAsia="Times New Roman" w:hAnsi="Times New Roman" w:cs="Times New Roman"/>
          <w:i/>
          <w:sz w:val="24"/>
          <w:szCs w:val="24"/>
        </w:rPr>
        <w:t>массы тела</w:t>
      </w:r>
      <w:r w:rsidRPr="00DE0812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преимущественно за счет жировой ткани. </w:t>
      </w:r>
    </w:p>
    <w:p w14:paraId="332CF03C" w14:textId="77777777" w:rsidR="001559FD" w:rsidRPr="00DE0812" w:rsidRDefault="001559FD" w:rsidP="001559F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BBDF552" w14:textId="450FEA6B" w:rsidR="00EF16F8" w:rsidRDefault="001559FD" w:rsidP="001559FD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Ключевые слова: </w:t>
      </w:r>
      <w:r w:rsidRPr="001559F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ожирение, </w:t>
      </w:r>
      <w:r w:rsidR="00DE08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сахарный диабет, </w:t>
      </w:r>
      <w:r w:rsidRPr="001559FD">
        <w:rPr>
          <w:rFonts w:ascii="Times New Roman" w:eastAsia="Times New Roman" w:hAnsi="Times New Roman" w:cs="Times New Roman"/>
          <w:bCs/>
          <w:iCs/>
          <w:sz w:val="24"/>
          <w:szCs w:val="24"/>
        </w:rPr>
        <w:t>низкокалорийные диеты,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ОПТИФАСТ.</w:t>
      </w:r>
    </w:p>
    <w:p w14:paraId="002F035B" w14:textId="7F0DE195" w:rsidR="001559FD" w:rsidRDefault="001559FD" w:rsidP="001559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41633" w14:textId="77777777" w:rsidR="00EF0A2D" w:rsidRPr="001559FD" w:rsidRDefault="00EF0A2D" w:rsidP="001559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92321" w14:textId="77777777" w:rsidR="00EF16F8" w:rsidRDefault="003930A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Введение:</w:t>
      </w:r>
    </w:p>
    <w:p w14:paraId="799BE678" w14:textId="0A063685" w:rsidR="00EF16F8" w:rsidRDefault="003930A9" w:rsidP="00004DD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данным Росстата в нашей стране неуклонно растет заболеваемость ожирением и другими метаболическими заболеваниями, ассоциированными с ним. В 2022 году было зарегистрировано более 419 тыс. новых случаев ожирения (рост составил более чем на 10% за год), сахарный диабет 2 типа (СД 2) в 2022 году был выявлен у 5,2 млн россиян, а ожирение </w:t>
      </w:r>
      <w:r w:rsidR="00004D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2,17 млн. [1].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статистическим данным на 1 января 2023 года в России диагноз «ожирение» зафиксирован у 1,6 млн взрослых и </w:t>
      </w:r>
      <w:r w:rsidR="00004D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более 560 тысяч детей. За последних 2 года в России число пациентов с болезнями эндокринной системы, расстройствами питания и нарушениями обмена веществ увеличилось почти на миллион человек. </w:t>
      </w:r>
    </w:p>
    <w:p w14:paraId="6CE576B0" w14:textId="77777777" w:rsidR="00EF16F8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данным эпидемиологического исследования NATION число взрослых пациентов с ожирением может достигать 45 млн чел. </w:t>
      </w:r>
      <w:r>
        <w:rPr>
          <w:rFonts w:ascii="Times New Roman" w:eastAsia="Times New Roman" w:hAnsi="Times New Roman" w:cs="Times New Roman"/>
          <w:sz w:val="24"/>
          <w:szCs w:val="24"/>
        </w:rPr>
        <w:t>[2]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а исследование COSI показало – 10% детей в возрасте до 7 лет имеют диагноз «ожирение» и еще 27% – избыточную массу тела </w:t>
      </w:r>
      <w:r>
        <w:rPr>
          <w:rFonts w:ascii="Times New Roman" w:eastAsia="Times New Roman" w:hAnsi="Times New Roman" w:cs="Times New Roman"/>
          <w:sz w:val="24"/>
          <w:szCs w:val="24"/>
        </w:rPr>
        <w:t>[3]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A0729C3" w14:textId="4E81266D" w:rsidR="00EF16F8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По последним оценкам, к 2030 году около 14% мужчин и 20% женщин </w:t>
      </w:r>
      <w:r w:rsidR="00427C20">
        <w:rPr>
          <w:rFonts w:ascii="Times New Roman" w:eastAsia="Gungsuh" w:hAnsi="Times New Roman" w:cs="Times New Roman"/>
          <w:sz w:val="24"/>
          <w:szCs w:val="24"/>
        </w:rPr>
        <w:t>на</w:t>
      </w:r>
      <w:r>
        <w:rPr>
          <w:rFonts w:ascii="Times New Roman" w:eastAsia="Gungsuh" w:hAnsi="Times New Roman" w:cs="Times New Roman"/>
          <w:sz w:val="24"/>
          <w:szCs w:val="24"/>
        </w:rPr>
        <w:t xml:space="preserve"> планет</w:t>
      </w:r>
      <w:r w:rsidR="00427C20">
        <w:rPr>
          <w:rFonts w:ascii="Times New Roman" w:eastAsia="Gungsuh" w:hAnsi="Times New Roman" w:cs="Times New Roman"/>
          <w:sz w:val="24"/>
          <w:szCs w:val="24"/>
        </w:rPr>
        <w:t>е</w:t>
      </w:r>
      <w:r>
        <w:rPr>
          <w:rFonts w:ascii="Times New Roman" w:eastAsia="Gungsuh" w:hAnsi="Times New Roman" w:cs="Times New Roman"/>
          <w:sz w:val="24"/>
          <w:szCs w:val="24"/>
        </w:rPr>
        <w:t xml:space="preserve"> (более 1 миллиарда человек) будут страдать ожирением, а процент взрослых с ожирением с ИМТ≥30 кг /м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Gungsuh" w:hAnsi="Times New Roman" w:cs="Times New Roman"/>
          <w:sz w:val="24"/>
          <w:szCs w:val="24"/>
        </w:rPr>
        <w:t>, ИМТ≥35 кг/м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Gungsuh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морбидным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ожирением (с ИМТ ≥40 кг/м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составит 18%, 6% и 2% соответственно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[4].</w:t>
      </w:r>
    </w:p>
    <w:p w14:paraId="3FD9E000" w14:textId="17B1C3C2" w:rsidR="00EF16F8" w:rsidRDefault="003930A9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Как уже было сказано, в настоящее время наиболее масштабными неинфекционными эпидемиями являются ожирение и СД 2 – две взаимно усугубляющие друг друга патологии. Ожирение ассоциировано с повышением риска возникновения СД 2</w:t>
      </w:r>
      <w:r w:rsidR="00427C2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наличие </w:t>
      </w:r>
      <w:r>
        <w:rPr>
          <w:rFonts w:ascii="Times New Roman" w:eastAsia="Gungsuh" w:hAnsi="Times New Roman" w:cs="Times New Roman"/>
          <w:sz w:val="24"/>
          <w:szCs w:val="24"/>
        </w:rPr>
        <w:t>ИМТ≥35 кг/м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Gungsuh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увеличивает риск его развития до 93% [5]. </w:t>
      </w:r>
      <w:r w:rsidR="00427C20">
        <w:rPr>
          <w:rFonts w:ascii="Times New Roman" w:eastAsia="Times New Roman" w:hAnsi="Times New Roman" w:cs="Times New Roman"/>
          <w:sz w:val="24"/>
          <w:szCs w:val="24"/>
        </w:rPr>
        <w:t>Продолжительность жизни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ожирени</w:t>
      </w:r>
      <w:r w:rsidR="00427C20">
        <w:rPr>
          <w:rFonts w:ascii="Times New Roman" w:eastAsia="Times New Roman" w:hAnsi="Times New Roman" w:cs="Times New Roman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увеличивает этот риск на 14% за каждые 2 года. К счастью, эта связь работает и в обратную сторону – снижение массы тела неизменно снижает риск возникновения СД 2 и облегчает его течение [5].</w:t>
      </w:r>
    </w:p>
    <w:p w14:paraId="247348C0" w14:textId="324934BF" w:rsidR="00EF16F8" w:rsidRDefault="00427C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3930A9">
        <w:rPr>
          <w:rFonts w:ascii="Times New Roman" w:eastAsia="Times New Roman" w:hAnsi="Times New Roman" w:cs="Times New Roman"/>
          <w:sz w:val="24"/>
          <w:szCs w:val="24"/>
        </w:rPr>
        <w:t xml:space="preserve">асштабность проблемы ожирения и СД 2, развития коморбидных нарушений, </w:t>
      </w:r>
      <w:r>
        <w:rPr>
          <w:rFonts w:ascii="Times New Roman" w:eastAsia="Times New Roman" w:hAnsi="Times New Roman" w:cs="Times New Roman"/>
          <w:sz w:val="24"/>
          <w:szCs w:val="24"/>
        </w:rPr>
        <w:t>породила</w:t>
      </w:r>
      <w:r w:rsidR="003930A9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поиска персонифицированного лечения и профилактики данного состояния. Известно, что постепенное снижение массы тела как минимум на 5-10% от исходной уже приводит к улучшению клинико-лабораторных показателей и снижению рисков развития ассоциированных с ожирением заболеваний. </w:t>
      </w:r>
    </w:p>
    <w:p w14:paraId="75BAC50A" w14:textId="77777777" w:rsidR="00EF16F8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при снижении массы тела согласно клиническим рекомендациям являются: модификация образа жизни в виде снижения калорийности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рациона с дефицитом в 500-600 ккал, ограничение жиров в рационе до 25-30% от суточной калорийности, расширение физической активности [6]. </w:t>
      </w:r>
    </w:p>
    <w:p w14:paraId="192601ED" w14:textId="77777777" w:rsidR="00EF16F8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отсутствия эффекта от немедикаментозных способов возможно применение ряда лекарственных препаратов</w:t>
      </w:r>
      <w:r w:rsidR="004D611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зарегистрированных для лечения ожирения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орлистат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сибутрамин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лираглутид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Наряду с консервативными методами лечения особое место занимает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бариатрическая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хирургия, которая позволяет достичь и удержать сниженную массу тела в долгосрочной перспективе, что приводит к улучшению качества и продолжительности жизни пациентов. </w:t>
      </w:r>
    </w:p>
    <w:p w14:paraId="6224AD26" w14:textId="5B839748" w:rsidR="00EF16F8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уже было сказано, основную роль в снижении массы тела занимают диетологические рекомендации - снижение калорийности рациона питания, в связи с чем в настоящее время </w:t>
      </w:r>
      <w:r w:rsidR="00060088">
        <w:rPr>
          <w:rFonts w:ascii="Times New Roman" w:eastAsia="Times New Roman" w:hAnsi="Times New Roman" w:cs="Times New Roman"/>
          <w:sz w:val="24"/>
          <w:szCs w:val="24"/>
        </w:rPr>
        <w:t xml:space="preserve">большая роль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отводится эффективным программам снижения массы тела. Крайне важно не только назначать медикаментозную терапию имеющихся нарушений обмена веществ, но и как можно раньше </w:t>
      </w:r>
      <w:r w:rsidR="00060088">
        <w:rPr>
          <w:rFonts w:ascii="Times New Roman" w:eastAsia="Times New Roman" w:hAnsi="Times New Roman" w:cs="Times New Roman"/>
          <w:sz w:val="24"/>
          <w:szCs w:val="24"/>
        </w:rPr>
        <w:t>рекомендовать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пациенту </w:t>
      </w:r>
      <w:r w:rsidR="00060088">
        <w:rPr>
          <w:rFonts w:ascii="Times New Roman" w:eastAsia="Times New Roman" w:hAnsi="Times New Roman" w:cs="Times New Roman"/>
          <w:sz w:val="24"/>
          <w:szCs w:val="24"/>
        </w:rPr>
        <w:t>рациональную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низкокалорийную программу для эффективного и безопасного снижения массы тела, однако сделать это только с помощью продуктового набора, не потеряв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нутритивн</w:t>
      </w:r>
      <w:r w:rsidR="00060088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ценност</w:t>
      </w:r>
      <w:r w:rsidR="0006008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рациона, часто бывает довольно непросто [7]. </w:t>
      </w:r>
    </w:p>
    <w:p w14:paraId="341372A8" w14:textId="1CED8D46" w:rsidR="00AC42A5" w:rsidRPr="00452829" w:rsidRDefault="003930A9" w:rsidP="00AC42A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многочисленных исследований демонстрируют эффективность применения низкокалорийных и очень низкокалорийных диет в лечении ожирения [7, 8].</w:t>
      </w:r>
      <w:r w:rsidR="00AC42A5">
        <w:rPr>
          <w:rFonts w:ascii="Times New Roman" w:eastAsia="Times New Roman" w:hAnsi="Times New Roman" w:cs="Times New Roman"/>
          <w:sz w:val="24"/>
          <w:szCs w:val="24"/>
        </w:rPr>
        <w:t xml:space="preserve"> Однако </w:t>
      </w:r>
      <w:r w:rsidR="00AC42A5" w:rsidRPr="00AC42A5">
        <w:rPr>
          <w:rFonts w:ascii="Times New Roman" w:eastAsia="Times New Roman" w:hAnsi="Times New Roman" w:cs="Times New Roman"/>
          <w:sz w:val="24"/>
          <w:szCs w:val="24"/>
        </w:rPr>
        <w:t xml:space="preserve">соблюдение таких редуцированных диет </w:t>
      </w:r>
      <w:r w:rsidR="0006008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0088" w:rsidRPr="00AC42A5">
        <w:rPr>
          <w:rFonts w:ascii="Times New Roman" w:eastAsia="Times New Roman" w:hAnsi="Times New Roman" w:cs="Times New Roman"/>
          <w:sz w:val="24"/>
          <w:szCs w:val="24"/>
        </w:rPr>
        <w:t xml:space="preserve"> применени</w:t>
      </w:r>
      <w:r w:rsidR="00060088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060088" w:rsidRPr="00AC42A5">
        <w:rPr>
          <w:rFonts w:ascii="Times New Roman" w:eastAsia="Times New Roman" w:hAnsi="Times New Roman" w:cs="Times New Roman"/>
          <w:sz w:val="24"/>
          <w:szCs w:val="24"/>
        </w:rPr>
        <w:t xml:space="preserve"> традиционных пищевых про</w:t>
      </w:r>
      <w:r w:rsidR="00060088" w:rsidRPr="00AC42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дуктов и блюд </w:t>
      </w:r>
      <w:r w:rsidR="00060088">
        <w:rPr>
          <w:rFonts w:ascii="Times New Roman" w:eastAsia="Times New Roman" w:hAnsi="Times New Roman" w:cs="Times New Roman"/>
          <w:sz w:val="24"/>
          <w:szCs w:val="24"/>
        </w:rPr>
        <w:t>нередко</w:t>
      </w:r>
      <w:r w:rsidR="00AC42A5" w:rsidRPr="00AC42A5">
        <w:rPr>
          <w:rFonts w:ascii="Times New Roman" w:eastAsia="Times New Roman" w:hAnsi="Times New Roman" w:cs="Times New Roman"/>
          <w:sz w:val="24"/>
          <w:szCs w:val="24"/>
        </w:rPr>
        <w:t xml:space="preserve"> вызывает </w:t>
      </w:r>
      <w:r w:rsidR="00060088" w:rsidRPr="00AC42A5">
        <w:rPr>
          <w:rFonts w:ascii="Times New Roman" w:eastAsia="Times New Roman" w:hAnsi="Times New Roman" w:cs="Times New Roman"/>
          <w:sz w:val="24"/>
          <w:szCs w:val="24"/>
        </w:rPr>
        <w:t xml:space="preserve">у пациентов </w:t>
      </w:r>
      <w:r w:rsidR="00AC42A5" w:rsidRPr="00AC42A5">
        <w:rPr>
          <w:rFonts w:ascii="Times New Roman" w:eastAsia="Times New Roman" w:hAnsi="Times New Roman" w:cs="Times New Roman"/>
          <w:sz w:val="24"/>
          <w:szCs w:val="24"/>
        </w:rPr>
        <w:t xml:space="preserve">определенные трудности, что связано с необходимостью </w:t>
      </w:r>
      <w:r w:rsidR="00CF03E6" w:rsidRPr="00AC42A5">
        <w:rPr>
          <w:rFonts w:ascii="Times New Roman" w:eastAsia="Times New Roman" w:hAnsi="Times New Roman" w:cs="Times New Roman"/>
          <w:sz w:val="24"/>
          <w:szCs w:val="24"/>
        </w:rPr>
        <w:t>сохранени</w:t>
      </w:r>
      <w:r w:rsidR="00CF03E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F03E6" w:rsidRPr="00AC4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03E6" w:rsidRPr="00AC42A5">
        <w:rPr>
          <w:rFonts w:ascii="Times New Roman" w:eastAsia="Times New Roman" w:hAnsi="Times New Roman" w:cs="Times New Roman"/>
          <w:sz w:val="24"/>
          <w:szCs w:val="24"/>
        </w:rPr>
        <w:t>нутритивной</w:t>
      </w:r>
      <w:proofErr w:type="spellEnd"/>
      <w:r w:rsidR="00CF03E6" w:rsidRPr="00AC42A5">
        <w:rPr>
          <w:rFonts w:ascii="Times New Roman" w:eastAsia="Times New Roman" w:hAnsi="Times New Roman" w:cs="Times New Roman"/>
          <w:sz w:val="24"/>
          <w:szCs w:val="24"/>
        </w:rPr>
        <w:t xml:space="preserve"> ценности рациона</w:t>
      </w:r>
      <w:r w:rsidR="00CF03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C42A5" w:rsidRPr="00AC42A5">
        <w:rPr>
          <w:rFonts w:ascii="Times New Roman" w:eastAsia="Times New Roman" w:hAnsi="Times New Roman" w:cs="Times New Roman"/>
          <w:sz w:val="24"/>
          <w:szCs w:val="24"/>
        </w:rPr>
        <w:t>сбаланси</w:t>
      </w:r>
      <w:r w:rsidR="00AC42A5" w:rsidRPr="00AC42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рованного подбора макро- и микронутриентов. </w:t>
      </w:r>
      <w:r w:rsidR="00CF03E6">
        <w:rPr>
          <w:rFonts w:ascii="Times New Roman" w:eastAsia="Times New Roman" w:hAnsi="Times New Roman" w:cs="Times New Roman"/>
          <w:sz w:val="24"/>
          <w:szCs w:val="24"/>
        </w:rPr>
        <w:t>Известно, что д</w:t>
      </w:r>
      <w:r w:rsidR="00AC42A5" w:rsidRPr="00AC42A5">
        <w:rPr>
          <w:rFonts w:ascii="Times New Roman" w:eastAsia="Times New Roman" w:hAnsi="Times New Roman" w:cs="Times New Roman"/>
          <w:sz w:val="24"/>
          <w:szCs w:val="24"/>
        </w:rPr>
        <w:t xml:space="preserve">лительное применение низкокалорийных диет может привести к развитию гиповитаминозов, недостатку </w:t>
      </w:r>
      <w:r w:rsidR="00AC42A5" w:rsidRPr="00452829">
        <w:rPr>
          <w:rFonts w:ascii="Times New Roman" w:eastAsia="Times New Roman" w:hAnsi="Times New Roman" w:cs="Times New Roman"/>
          <w:sz w:val="24"/>
          <w:szCs w:val="24"/>
        </w:rPr>
        <w:t>пищевых волокон или снижению потребления полноценного белка.</w:t>
      </w:r>
    </w:p>
    <w:p w14:paraId="6922676D" w14:textId="2036CC45" w:rsidR="004D611D" w:rsidRPr="00452829" w:rsidRDefault="00452829" w:rsidP="004D611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на </w:t>
      </w:r>
      <w:r w:rsidRPr="00452829">
        <w:rPr>
          <w:rFonts w:ascii="Times New Roman" w:eastAsia="Times New Roman" w:hAnsi="Times New Roman" w:cs="Times New Roman"/>
          <w:sz w:val="24"/>
          <w:szCs w:val="24"/>
        </w:rPr>
        <w:t xml:space="preserve">рынке имеется большое количество различных “заменителей пищи” (например, белковые коктейли и протеиновые смеси), которые диетологи с успехом применяют с </w:t>
      </w:r>
      <w:r w:rsidR="00CF03E6" w:rsidRPr="00452829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="008A2764" w:rsidRPr="00452829">
        <w:rPr>
          <w:rFonts w:ascii="Times New Roman" w:eastAsia="Times New Roman" w:hAnsi="Times New Roman" w:cs="Times New Roman"/>
          <w:sz w:val="24"/>
          <w:szCs w:val="24"/>
        </w:rPr>
        <w:t xml:space="preserve">повышения </w:t>
      </w:r>
      <w:proofErr w:type="spellStart"/>
      <w:r w:rsidR="008A2764" w:rsidRPr="00452829">
        <w:rPr>
          <w:rFonts w:ascii="Times New Roman" w:eastAsia="Times New Roman" w:hAnsi="Times New Roman" w:cs="Times New Roman"/>
          <w:sz w:val="24"/>
          <w:szCs w:val="24"/>
        </w:rPr>
        <w:t>нутритивной</w:t>
      </w:r>
      <w:proofErr w:type="spellEnd"/>
      <w:r w:rsidR="008A2764" w:rsidRPr="00452829">
        <w:rPr>
          <w:rFonts w:ascii="Times New Roman" w:eastAsia="Times New Roman" w:hAnsi="Times New Roman" w:cs="Times New Roman"/>
          <w:sz w:val="24"/>
          <w:szCs w:val="24"/>
        </w:rPr>
        <w:t xml:space="preserve"> ценности рациона</w:t>
      </w:r>
      <w:r w:rsidRPr="0045282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A2764" w:rsidRPr="00452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3E6" w:rsidRPr="00452829">
        <w:rPr>
          <w:rFonts w:ascii="Times New Roman" w:eastAsia="Times New Roman" w:hAnsi="Times New Roman" w:cs="Times New Roman"/>
          <w:sz w:val="24"/>
          <w:szCs w:val="24"/>
        </w:rPr>
        <w:t xml:space="preserve">увеличения </w:t>
      </w:r>
      <w:r w:rsidRPr="00452829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CF03E6" w:rsidRPr="00452829">
        <w:rPr>
          <w:rFonts w:ascii="Times New Roman" w:eastAsia="Times New Roman" w:hAnsi="Times New Roman" w:cs="Times New Roman"/>
          <w:sz w:val="24"/>
          <w:szCs w:val="24"/>
        </w:rPr>
        <w:t>белкового компонента</w:t>
      </w:r>
      <w:r w:rsidRPr="004528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3F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282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CF03E6" w:rsidRPr="00452829">
        <w:rPr>
          <w:rFonts w:ascii="Times New Roman" w:eastAsia="Times New Roman" w:hAnsi="Times New Roman" w:cs="Times New Roman"/>
          <w:sz w:val="24"/>
          <w:szCs w:val="24"/>
        </w:rPr>
        <w:t>преимуществам</w:t>
      </w:r>
      <w:r w:rsidR="00443F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03E6" w:rsidRPr="00452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FD0">
        <w:rPr>
          <w:rFonts w:ascii="Times New Roman" w:eastAsia="Times New Roman" w:hAnsi="Times New Roman" w:cs="Times New Roman"/>
          <w:sz w:val="24"/>
          <w:szCs w:val="24"/>
        </w:rPr>
        <w:t xml:space="preserve">являются </w:t>
      </w:r>
      <w:r w:rsidR="00CF03E6" w:rsidRPr="00452829">
        <w:rPr>
          <w:rFonts w:ascii="Times New Roman" w:eastAsia="Times New Roman" w:hAnsi="Times New Roman" w:cs="Times New Roman"/>
          <w:sz w:val="24"/>
          <w:szCs w:val="24"/>
        </w:rPr>
        <w:t>сбалансированный состав всех необхо</w:t>
      </w:r>
      <w:r w:rsidR="00CF03E6" w:rsidRPr="00452829">
        <w:rPr>
          <w:rFonts w:ascii="Times New Roman" w:eastAsia="Times New Roman" w:hAnsi="Times New Roman" w:cs="Times New Roman"/>
          <w:sz w:val="24"/>
          <w:szCs w:val="24"/>
        </w:rPr>
        <w:softHyphen/>
        <w:t>димых нутриентов, отсутствие больших временных затрат при приготовлении пищи</w:t>
      </w:r>
      <w:r w:rsidRPr="004528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03E6" w:rsidRPr="00452829">
        <w:rPr>
          <w:rFonts w:ascii="Times New Roman" w:eastAsia="Times New Roman" w:hAnsi="Times New Roman" w:cs="Times New Roman"/>
          <w:sz w:val="24"/>
          <w:szCs w:val="24"/>
        </w:rPr>
        <w:t>разнообразие вкусов, а также возможность использования различных жидких сред для их разведения</w:t>
      </w:r>
      <w:r w:rsidRPr="00452829">
        <w:rPr>
          <w:rFonts w:ascii="Times New Roman" w:eastAsia="Times New Roman" w:hAnsi="Times New Roman" w:cs="Times New Roman"/>
          <w:sz w:val="24"/>
          <w:szCs w:val="24"/>
        </w:rPr>
        <w:t xml:space="preserve"> (вода, молоко)</w:t>
      </w:r>
      <w:r w:rsidR="00CF03E6" w:rsidRPr="004528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2829">
        <w:rPr>
          <w:rFonts w:ascii="Times New Roman" w:eastAsia="Times New Roman" w:hAnsi="Times New Roman" w:cs="Times New Roman"/>
          <w:sz w:val="24"/>
          <w:szCs w:val="24"/>
        </w:rPr>
        <w:t xml:space="preserve"> Данные “заменители пищи” значительно </w:t>
      </w:r>
      <w:r w:rsidR="004D611D" w:rsidRPr="00452829">
        <w:rPr>
          <w:rFonts w:ascii="Times New Roman" w:eastAsia="Times New Roman" w:hAnsi="Times New Roman" w:cs="Times New Roman"/>
          <w:sz w:val="24"/>
          <w:szCs w:val="24"/>
        </w:rPr>
        <w:t xml:space="preserve">упрощают разрабатываемые схемы </w:t>
      </w:r>
      <w:r w:rsidRPr="00452829">
        <w:rPr>
          <w:rFonts w:ascii="Times New Roman" w:eastAsia="Times New Roman" w:hAnsi="Times New Roman" w:cs="Times New Roman"/>
          <w:sz w:val="24"/>
          <w:szCs w:val="24"/>
        </w:rPr>
        <w:t xml:space="preserve">снижения </w:t>
      </w:r>
      <w:r w:rsidR="004D611D" w:rsidRPr="00452829">
        <w:rPr>
          <w:rFonts w:ascii="Times New Roman" w:eastAsia="Times New Roman" w:hAnsi="Times New Roman" w:cs="Times New Roman"/>
          <w:sz w:val="24"/>
          <w:szCs w:val="24"/>
        </w:rPr>
        <w:t>массы тела, заменяя один или два приема пищи в день</w:t>
      </w:r>
      <w:r w:rsidRPr="00452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11D" w:rsidRPr="00452829">
        <w:rPr>
          <w:rFonts w:ascii="Times New Roman" w:eastAsia="Times New Roman" w:hAnsi="Times New Roman" w:cs="Times New Roman"/>
          <w:sz w:val="24"/>
          <w:szCs w:val="24"/>
        </w:rPr>
        <w:t>продуктом с определенн</w:t>
      </w:r>
      <w:r w:rsidRPr="00452829">
        <w:rPr>
          <w:rFonts w:ascii="Times New Roman" w:eastAsia="Times New Roman" w:hAnsi="Times New Roman" w:cs="Times New Roman"/>
          <w:sz w:val="24"/>
          <w:szCs w:val="24"/>
        </w:rPr>
        <w:t xml:space="preserve">ой калорийностью и </w:t>
      </w:r>
      <w:r w:rsidR="004D611D" w:rsidRPr="00452829">
        <w:rPr>
          <w:rFonts w:ascii="Times New Roman" w:eastAsia="Times New Roman" w:hAnsi="Times New Roman" w:cs="Times New Roman"/>
          <w:sz w:val="24"/>
          <w:szCs w:val="24"/>
        </w:rPr>
        <w:t xml:space="preserve">содержанием питательных веществ. </w:t>
      </w:r>
    </w:p>
    <w:p w14:paraId="67E6BCFA" w14:textId="77777777" w:rsidR="00EF16F8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829">
        <w:rPr>
          <w:rFonts w:ascii="Times New Roman" w:eastAsia="Times New Roman" w:hAnsi="Times New Roman" w:cs="Times New Roman"/>
          <w:sz w:val="24"/>
          <w:szCs w:val="24"/>
        </w:rPr>
        <w:lastRenderedPageBreak/>
        <w:t>В 2024 году на российском рынке появился новый продукт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сбалансированного низкокалорийного питания ОПТИФАСТ, зарекомендовавший себя во всем мире на протяжении уже более чем 40 лет и показавший свою эффективность и безопасность в более чем 80 международных клинических исследованиях с высоким уровнем доказательности [7, 8].</w:t>
      </w:r>
    </w:p>
    <w:p w14:paraId="19ECB0BE" w14:textId="4583D701" w:rsidR="00EF16F8" w:rsidRDefault="001559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ОПТИФАСТ</w:t>
      </w:r>
      <w:r w:rsidR="004D611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930A9">
        <w:rPr>
          <w:rFonts w:ascii="Times New Roman" w:eastAsia="Times New Roman" w:hAnsi="Times New Roman" w:cs="Times New Roman"/>
          <w:sz w:val="24"/>
          <w:szCs w:val="24"/>
        </w:rPr>
        <w:t xml:space="preserve">– это полноценная замена приемов пищи в форме сухой смеси для разведения водой, сбалансированная по калорийности и содержанию белков, жиров и углеводов. В каждой порции продукта содержится около 20 г животного белка, 27 жизненно важных витаминов и минералов и всего 200 ккал. ОПТИФАСТ обеспечивает пациента всеми необходимыми питательными веществами и позволяет управлять суточным </w:t>
      </w:r>
      <w:proofErr w:type="spellStart"/>
      <w:r w:rsidR="003930A9">
        <w:rPr>
          <w:rFonts w:ascii="Times New Roman" w:eastAsia="Times New Roman" w:hAnsi="Times New Roman" w:cs="Times New Roman"/>
          <w:sz w:val="24"/>
          <w:szCs w:val="24"/>
        </w:rPr>
        <w:t>калоражем</w:t>
      </w:r>
      <w:proofErr w:type="spellEnd"/>
      <w:r w:rsidR="003930A9">
        <w:rPr>
          <w:rFonts w:ascii="Times New Roman" w:eastAsia="Times New Roman" w:hAnsi="Times New Roman" w:cs="Times New Roman"/>
          <w:sz w:val="24"/>
          <w:szCs w:val="24"/>
        </w:rPr>
        <w:t xml:space="preserve">, дает пациенту чувство сытости, необходимое для высокой приверженности низкокалорийной диете, которая показана пациентам с ожирением и </w:t>
      </w:r>
      <w:r w:rsidR="00443FD0">
        <w:rPr>
          <w:rFonts w:ascii="Times New Roman" w:eastAsia="Times New Roman" w:hAnsi="Times New Roman" w:cs="Times New Roman"/>
          <w:sz w:val="24"/>
          <w:szCs w:val="24"/>
        </w:rPr>
        <w:t>избыточной массой тела</w:t>
      </w:r>
      <w:r w:rsidR="003930A9">
        <w:rPr>
          <w:rFonts w:ascii="Times New Roman" w:eastAsia="Times New Roman" w:hAnsi="Times New Roman" w:cs="Times New Roman"/>
          <w:sz w:val="24"/>
          <w:szCs w:val="24"/>
        </w:rPr>
        <w:t xml:space="preserve">. Назначая ОПТИФАСТ пациентам с ожирением, легко просчитать количество потребляемой энергии и нутриентов при составлении схем низкокалорийной диеты, обеспечить эффективное и безопасное снижение веса преимущественно за счет жировой ткани. </w:t>
      </w:r>
    </w:p>
    <w:p w14:paraId="28452E69" w14:textId="139920FC" w:rsidR="00EF16F8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линейке ОПТИФАСТ для разнообразия вкус</w:t>
      </w:r>
      <w:r w:rsidR="004D611D">
        <w:rPr>
          <w:rFonts w:ascii="Times New Roman" w:eastAsia="Times New Roman" w:hAnsi="Times New Roman" w:cs="Times New Roman"/>
          <w:sz w:val="24"/>
          <w:szCs w:val="24"/>
        </w:rPr>
        <w:t xml:space="preserve">а есть продукты 3-х категорий: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супы, десерты и коктейли. Программа возможна в 2-х вариантах: первый вариант - это полноценная трехступенчатая программа, </w:t>
      </w:r>
      <w:r w:rsidR="003B1A99">
        <w:rPr>
          <w:rFonts w:ascii="Times New Roman" w:eastAsia="Times New Roman" w:hAnsi="Times New Roman" w:cs="Times New Roman"/>
          <w:sz w:val="24"/>
          <w:szCs w:val="24"/>
        </w:rPr>
        <w:t>в которой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первые 2 месяца идет замена всех 3-х приемов пищи продуктами ОПТИФАСТ, в течение 3-го месяца идет замена 2-х приемов пищи продуктами ОПТИФАСТ, в течение 4 и 5 месяца идет замена одного приема пищи продуктами ОПТИФАСТ, начиная с 6-го месяца рекомендуется поддержание результатов посредством сбалансированной диеты стандартной продуктовой корзины.  Второй вариант программы ОПТИФАСТ предполагает частичную замену 1-2 приемов пищи, начиная с 1-го месяца приема. </w:t>
      </w:r>
    </w:p>
    <w:p w14:paraId="01122D44" w14:textId="4328FB4B" w:rsidR="00EF16F8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Следует сказать, что </w:t>
      </w:r>
      <w:r w:rsidR="003B1A99">
        <w:rPr>
          <w:rFonts w:ascii="Times New Roman" w:eastAsia="Times New Roman" w:hAnsi="Times New Roman" w:cs="Times New Roman"/>
          <w:sz w:val="24"/>
          <w:szCs w:val="24"/>
        </w:rPr>
        <w:t>для профилактики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рецидива набора массы тела таким пациентам</w:t>
      </w:r>
      <w:r w:rsidR="003B1A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A99">
        <w:rPr>
          <w:rFonts w:ascii="Times New Roman" w:eastAsia="Times New Roman" w:hAnsi="Times New Roman" w:cs="Times New Roman"/>
          <w:sz w:val="24"/>
          <w:szCs w:val="24"/>
        </w:rPr>
        <w:t xml:space="preserve">безусловно,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 постоянный контроль питания и физической активности, наблюдение мультидисциплинарной команды специалистов врачей - эндокринологов, диетологов и др.</w:t>
      </w:r>
    </w:p>
    <w:p w14:paraId="315F493E" w14:textId="163D57C5" w:rsidR="00EF16F8" w:rsidRDefault="003930A9" w:rsidP="003B1A9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Метаболические патогенетические нарушения при ожирении</w:t>
      </w:r>
    </w:p>
    <w:p w14:paraId="2F89AA90" w14:textId="7A9CB9E1" w:rsidR="00EF16F8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Ожирение характеризуется избыточным накоплением жировой ткани, а также увеличением площади поверхности </w:t>
      </w:r>
      <w:proofErr w:type="spellStart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адипоцитов</w:t>
      </w:r>
      <w:proofErr w:type="spellEnd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Согласно данным исследований в основе патогенеза инсулинорезистентности лежит хроническое воспаление жировой ткани. Метаболические нарушения, возникающие при</w:t>
      </w:r>
      <w:r w:rsidR="004A7B58">
        <w:rPr>
          <w:rFonts w:ascii="Times New Roman" w:eastAsia="Times New Roman" w:hAnsi="Times New Roman" w:cs="Times New Roman"/>
          <w:sz w:val="24"/>
          <w:szCs w:val="24"/>
        </w:rPr>
        <w:t xml:space="preserve"> наличии висцерального </w:t>
      </w:r>
      <w:r w:rsidR="004A7B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ожирения,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играют основную роль не только в развитии инсулинорезистентности, а также </w:t>
      </w:r>
      <w:r w:rsidR="003B1A9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нарушении процесса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аутофагии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регуляции оси “кишечник-мозг”, что приводит к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увеличению количества </w:t>
      </w:r>
      <w:proofErr w:type="spellStart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провоспалительных</w:t>
      </w:r>
      <w:proofErr w:type="spellEnd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цитокинов,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системному воспалению, дисфункции β-клеток, развитию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транзиторной гипергликемии,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предиабета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СД 2 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>[5, 8-10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4F612FE3" w14:textId="36F261FA" w:rsidR="00EF16F8" w:rsidRDefault="003930A9">
      <w:pPr>
        <w:spacing w:line="36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Насыщенные жирные кислоты (НЖК), которые часто преобладают в рационе пациентов с ожирением, оказыва</w:t>
      </w:r>
      <w:r w:rsidR="00721CA0">
        <w:rPr>
          <w:rFonts w:ascii="Times New Roman" w:eastAsia="Times New Roman" w:hAnsi="Times New Roman" w:cs="Times New Roman"/>
          <w:color w:val="282828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негативное влияние на чувствительность к инсулину, способству</w:t>
      </w:r>
      <w:r w:rsidR="00721CA0">
        <w:rPr>
          <w:rFonts w:ascii="Times New Roman" w:eastAsia="Times New Roman" w:hAnsi="Times New Roman" w:cs="Times New Roman"/>
          <w:color w:val="282828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провоспалительной</w:t>
      </w:r>
      <w:proofErr w:type="spellEnd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передаче сигналов через </w:t>
      </w:r>
      <w:proofErr w:type="spellStart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Toll</w:t>
      </w:r>
      <w:proofErr w:type="spellEnd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-подобный рецептор 4 (TLR4) [11</w:t>
      </w:r>
      <w:r w:rsidRPr="009013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и</w:t>
      </w:r>
      <w:r w:rsidRPr="009013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усилива</w:t>
      </w:r>
      <w:r w:rsidR="00721CA0">
        <w:rPr>
          <w:rFonts w:ascii="Times New Roman" w:eastAsia="Times New Roman" w:hAnsi="Times New Roman" w:cs="Times New Roman"/>
          <w:color w:val="282828"/>
          <w:sz w:val="24"/>
          <w:szCs w:val="24"/>
        </w:rPr>
        <w:t>ют</w:t>
      </w:r>
      <w:r w:rsidRPr="009013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синтез</w:t>
      </w:r>
      <w:r w:rsidRPr="009013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ДАГ</w:t>
      </w:r>
      <w:r w:rsidRPr="009013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диацилглицерол</w:t>
      </w:r>
      <w:proofErr w:type="spellEnd"/>
      <w:r w:rsidRPr="009013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и</w:t>
      </w:r>
      <w:r w:rsidRPr="009013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церамидов</w:t>
      </w:r>
      <w:proofErr w:type="spellEnd"/>
      <w:r w:rsidRPr="0090136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>[12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Кроме того, НЖК увеличивают уровень окислительного стресса в эндоплазматическом </w:t>
      </w:r>
      <w:proofErr w:type="spellStart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ретикулуме</w:t>
      </w:r>
      <w:proofErr w:type="spellEnd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(ЭР), активируя сигнальный NF-</w:t>
      </w:r>
      <w:proofErr w:type="spellStart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κB</w:t>
      </w:r>
      <w:proofErr w:type="spellEnd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(транскрипционный фактор) и </w:t>
      </w:r>
      <w:proofErr w:type="spellStart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провоспалительный</w:t>
      </w:r>
      <w:proofErr w:type="spellEnd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каскады, что усугубляет резистентность к инсулину </w:t>
      </w:r>
      <w:r w:rsidRPr="0090136E">
        <w:rPr>
          <w:rFonts w:ascii="Times New Roman" w:eastAsia="Times New Roman" w:hAnsi="Times New Roman" w:cs="Times New Roman"/>
          <w:color w:val="282828"/>
          <w:sz w:val="24"/>
          <w:szCs w:val="24"/>
        </w:rPr>
        <w:t>[13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]. В ряде исследований показано, что полиненасыщенные жирные кислоты (ПНЖК), мононенасыщенные жирные кислоты (МНЖК) и эфиры разветвленных жирных кислот, напротив, оказывают противовоспалительное и </w:t>
      </w:r>
      <w:proofErr w:type="spellStart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инсулино</w:t>
      </w:r>
      <w:proofErr w:type="spellEnd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-сенсибилизирующее действие [14]. Короткоцепочечные жирные кислоты (КЦЖК) образуются в процессе метаболизма пищевых волокон кишечным </w:t>
      </w:r>
      <w:proofErr w:type="spellStart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микробиомом</w:t>
      </w:r>
      <w:proofErr w:type="spellEnd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, в свою очередь при ожирении и СД 2 типа происходит изменение состава микробиоты кишечника, что нарушает выработку КЦЖК и влияет на чувствительность к инсулину и энергетический обмен </w:t>
      </w:r>
      <w:r w:rsidRPr="0090136E">
        <w:rPr>
          <w:rFonts w:ascii="Times New Roman" w:eastAsia="Times New Roman" w:hAnsi="Times New Roman" w:cs="Times New Roman"/>
          <w:color w:val="282828"/>
          <w:sz w:val="24"/>
          <w:szCs w:val="24"/>
        </w:rPr>
        <w:t>[15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].</w:t>
      </w:r>
    </w:p>
    <w:p w14:paraId="5E770A4A" w14:textId="538B16CD" w:rsidR="00EF16F8" w:rsidRDefault="003930A9">
      <w:pPr>
        <w:spacing w:line="36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ab/>
        <w:t>У людей с ожирением воспаление в белой жировой ткани, окислительный стресс и митохондриальная дисфункция вызван</w:t>
      </w:r>
      <w:r w:rsidR="00721CA0">
        <w:rPr>
          <w:rFonts w:ascii="Times New Roman" w:eastAsia="Times New Roman" w:hAnsi="Times New Roman" w:cs="Times New Roman"/>
          <w:color w:val="28282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снижением экспрессии катаболических ферментов разветвленных аминокислот (от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англ.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branched-chain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amino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acids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BCAA)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36E">
        <w:rPr>
          <w:rFonts w:ascii="Times New Roman" w:eastAsia="Times New Roman" w:hAnsi="Times New Roman" w:cs="Times New Roman"/>
          <w:color w:val="282828"/>
          <w:sz w:val="24"/>
          <w:szCs w:val="24"/>
        </w:rPr>
        <w:t>[16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]. Нарушение состава микробиоты кишечника, вызванн</w:t>
      </w:r>
      <w:r w:rsidR="00DB5386">
        <w:rPr>
          <w:rFonts w:ascii="Times New Roman" w:eastAsia="Times New Roman" w:hAnsi="Times New Roman" w:cs="Times New Roman"/>
          <w:color w:val="28282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рекомпозицией</w:t>
      </w:r>
      <w:proofErr w:type="spellEnd"/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пищевых субстратов, приводит к увеличению количества бактерий, продуцирующих разветвленные аминокислоты, </w:t>
      </w:r>
      <w:r w:rsidR="00DB5386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способству</w:t>
      </w:r>
      <w:r w:rsidR="00DB5386">
        <w:rPr>
          <w:rFonts w:ascii="Times New Roman" w:eastAsia="Times New Roman" w:hAnsi="Times New Roman" w:cs="Times New Roman"/>
          <w:color w:val="282828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увеличению уровня BCAA в плазме. </w:t>
      </w:r>
      <w:r w:rsidRPr="0090136E">
        <w:rPr>
          <w:rFonts w:ascii="Times New Roman" w:eastAsia="Times New Roman" w:hAnsi="Times New Roman" w:cs="Times New Roman"/>
          <w:color w:val="282828"/>
          <w:sz w:val="24"/>
          <w:szCs w:val="24"/>
        </w:rPr>
        <w:t>[17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]. Чрезмерное накопление разветвленных аминокислоты может быть одним из звеньев в патогенезе развития инсулинорезистентности. Однако</w:t>
      </w:r>
      <w:r w:rsidR="00DB5386">
        <w:rPr>
          <w:rFonts w:ascii="Times New Roman" w:eastAsia="Times New Roman" w:hAnsi="Times New Roman" w:cs="Times New Roman"/>
          <w:color w:val="2828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в настоящее время неясно, приводят ли повышенные уровни BCAA к СД 2.</w:t>
      </w:r>
    </w:p>
    <w:p w14:paraId="17D2B3EB" w14:textId="3DB97AD3" w:rsidR="00EF16F8" w:rsidRDefault="003930A9">
      <w:pPr>
        <w:spacing w:line="36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Роли микробиоты кишечника в настоящее время уделяется все большее внимание ученых. Уменьшение биоразнообразия микробиоты связано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с увеличением ИМТ, процента жировой ткани,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маркеров воспаления, снижением чувствительности к инсулину и дислипидемией [18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в составе микробиоты также влияют на уровень глюкозы натощак,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гликированный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гемоглобин (HbA1c) и развитие СД 2 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[19]. </w:t>
      </w:r>
      <w:r>
        <w:rPr>
          <w:rFonts w:ascii="Times New Roman" w:eastAsia="Times New Roman" w:hAnsi="Times New Roman" w:cs="Times New Roman"/>
          <w:sz w:val="24"/>
          <w:szCs w:val="24"/>
        </w:rPr>
        <w:t>Микробиота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кишечника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влияет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метаболические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передачу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сигналов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инсулина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регулируя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воспаление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выработку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утилизацию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метаболически</w:t>
      </w:r>
      <w:proofErr w:type="spellEnd"/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компонентов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[20</w:t>
      </w:r>
      <w:r>
        <w:rPr>
          <w:rFonts w:ascii="Times New Roman" w:eastAsia="Times New Roman" w:hAnsi="Times New Roman" w:cs="Times New Roman"/>
          <w:sz w:val="24"/>
          <w:szCs w:val="24"/>
        </w:rPr>
        <w:t>]. В связи с этим в питани</w:t>
      </w:r>
      <w:r w:rsidR="00DB5386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пациентов с ожирением важно добавлять продукты, содержащие до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полнительное количество волокон для модификации состава микробиоты кишечника. </w:t>
      </w:r>
    </w:p>
    <w:p w14:paraId="094CFB97" w14:textId="0FA9D3A3" w:rsidR="00EF16F8" w:rsidRDefault="003930A9" w:rsidP="00DB538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Исследования программы ОПТИФАСТ</w:t>
      </w:r>
    </w:p>
    <w:p w14:paraId="695C92B0" w14:textId="14340678" w:rsidR="00EF16F8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уже было сказано, результаты многочисленных клинических исследований демонстрируют эффективность применения низкокалорийных и очень низкокалорийных диет в лечении ожирения и его метаболических нарушений, в том числе программ</w:t>
      </w:r>
      <w:r w:rsidR="00DB538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ОПТИФАСТ.  </w:t>
      </w:r>
    </w:p>
    <w:p w14:paraId="1F746B0B" w14:textId="4D294022" w:rsidR="00EF16F8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Средняя скорость снижения массы тела, достоверно показанная в исследованиях программы ОПТИФАСТ, составляет 1-2,5 кг в неделю в начальной фазе замены 3-х приемов пищи 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>[21-23</w:t>
      </w:r>
      <w:r>
        <w:rPr>
          <w:rFonts w:ascii="Times New Roman" w:eastAsia="Times New Roman" w:hAnsi="Times New Roman" w:cs="Times New Roman"/>
          <w:sz w:val="24"/>
          <w:szCs w:val="24"/>
        </w:rPr>
        <w:t>]. Это средние цифры из того разброса данных, который зависит от выбранной схемы и изначально</w:t>
      </w:r>
      <w:r w:rsidR="00DB5386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386">
        <w:rPr>
          <w:rFonts w:ascii="Times New Roman" w:eastAsia="Times New Roman" w:hAnsi="Times New Roman" w:cs="Times New Roman"/>
          <w:sz w:val="24"/>
          <w:szCs w:val="24"/>
        </w:rPr>
        <w:t>массы тела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респондентов, т.е. поставленных целей. </w:t>
      </w:r>
    </w:p>
    <w:p w14:paraId="503B3733" w14:textId="37558300" w:rsidR="00EF16F8" w:rsidRDefault="003930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исследовании </w:t>
      </w:r>
      <w:hyperlink r:id="rId6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S.C.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Bischoff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B538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влияние программы ОПТИФАСТ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протяжени</w:t>
      </w:r>
      <w:r w:rsidR="00DB53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8,5 лет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общим количеством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8296 человек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Исходный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ИМТ составлял &gt;30 кг/м</w:t>
      </w:r>
      <w:r w:rsidRPr="00DB53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соблюдения 52-недельной программы отмечено</w:t>
      </w:r>
      <w:r w:rsidR="00DB53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DB53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снижение исходной массы тела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спустя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 женщин на 19,6 кг, а у мужчин – на 26,0 кг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уменьшени</w:t>
      </w:r>
      <w:r w:rsidR="00DB53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окружности талии (ОТ) на 11 см; сни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выраженности СД 2 и метаболического синдрома на 50%, а также снижение частоты артериальной гипертонии с 47 до 29%, уровней триглицеридов и холестерина ЛПНП у всех участников (p &lt;0,001), улучшение качества жизни</w:t>
      </w:r>
      <w:r w:rsidR="00DB53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Среднее снижение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массы тела </w:t>
      </w:r>
      <w:r w:rsidR="00DB53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составило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17,9%. Положительный эффект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сохранялся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 3 лет, был ассоциирован с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улучшением качества жизн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>[23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0AC16DD5" w14:textId="5B94BD11" w:rsidR="00EF16F8" w:rsidRDefault="003930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D.Trico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провели сравнение </w:t>
      </w:r>
      <w:r w:rsidR="009C5B6E">
        <w:rPr>
          <w:rFonts w:ascii="Times New Roman" w:eastAsia="Times New Roman" w:hAnsi="Times New Roman" w:cs="Times New Roman"/>
          <w:sz w:val="24"/>
          <w:szCs w:val="24"/>
        </w:rPr>
        <w:t xml:space="preserve">влияния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низкоуглеводного и средиземноморского стиля питания </w:t>
      </w:r>
      <w:r w:rsidR="009C5B6E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показатели углеводного обмена. Участники </w:t>
      </w:r>
      <w:r w:rsidR="009C5B6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36 пациентов</w:t>
      </w:r>
      <w:r w:rsidR="009C5B6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были разделены на две группы: 1-я группа низкоуглеводной диеты </w:t>
      </w:r>
      <w:r w:rsidR="009C5B6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распределение </w:t>
      </w:r>
      <w:proofErr w:type="spellStart"/>
      <w:r w:rsidR="009C5B6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макронутриентов</w:t>
      </w:r>
      <w:proofErr w:type="spellEnd"/>
      <w:r w:rsidR="009C5B6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составило 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30% углеводов, 30% белков и 40% жиров; 2-я группа средиземноморской диеты </w:t>
      </w:r>
      <w:r w:rsidR="009C5B6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55% углеводов, 15% белков и 30% </w:t>
      </w:r>
      <w:r w:rsidR="009C5B6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жиров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которые придерживались данного рациона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четырех недель. В результате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средняя потеря массы тела была на 58% выше в группе низкоуглеводной диеты по сравнению с группой средиземноморской (5,7 ± 1,8% и 3,6 ± 1,6% соответственно;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= 0,001). Таким образом</w:t>
      </w:r>
      <w:r w:rsidR="009C5B6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данное исследование подтверждает тот факт, что сбалансированная низкоуглеводная диета с высоким содержани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ем белка может быть эффективной альтернативой средиземноморскому стилю питания [24]. </w:t>
      </w:r>
    </w:p>
    <w:p w14:paraId="399F30BD" w14:textId="08B59829" w:rsidR="00EF16F8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проспективном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интервенционном исследовании на протяжении 15 недель с участием 36 пациентов (14 мужчин и 22 женщины, средний возраст которых составил 58,5 лет, индекс массы тела (ИМТ) = 34,1 </w:t>
      </w:r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 xml:space="preserve">кг/м </w:t>
      </w:r>
      <w:r w:rsidRPr="009C5B6E"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  <w:vertAlign w:val="superscript"/>
        </w:rPr>
        <w:t>2</w:t>
      </w:r>
      <w:r w:rsidR="009C5B6E">
        <w:rPr>
          <w:rFonts w:ascii="Times New Roman" w:eastAsia="Times New Roman" w:hAnsi="Times New Roman" w:cs="Times New Roman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первые 6 недель стандартизированной программы снижения веса (короткая программа ОПТИФАСТ) пациенты получали низкокалорийную диету (НКД). Ежедневное потребление состояло из 5 порций, полностью заменяющих обычные составляющие рациона, энергетической емкостью 800 ккал в сутки, из которых 96 г углеводов - 6,5 углеводных единиц (1,0–1,5 углеводных единиц на пакетик), 70 г белков, 15 г жиров и необходимое суточное количество витамин</w:t>
      </w:r>
      <w:r w:rsidR="004C5B12">
        <w:rPr>
          <w:rFonts w:ascii="Times New Roman" w:eastAsia="Times New Roman" w:hAnsi="Times New Roman" w:cs="Times New Roman"/>
          <w:sz w:val="24"/>
          <w:szCs w:val="24"/>
        </w:rPr>
        <w:t xml:space="preserve">ов и минералов. Пациентам было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рекомендовано выпивать &gt;2,5 л воды или других некалорийных напитков в день. За этой фазой очень низкокалорийного рациона следовала 4-недельная фаза возобновления питания, во время которой постепенно добавлялись дополнительные приемы пищи до достижения общей суточной калорийности в 1200 ккал и до 1500 ккал в фазе стабилизации веса. Через 15 недель наблюдалось достоверное снижение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гликированного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гемогло</w:t>
      </w:r>
      <w:r w:rsidR="004C5B12">
        <w:rPr>
          <w:rFonts w:ascii="Times New Roman" w:eastAsia="Times New Roman" w:hAnsi="Times New Roman" w:cs="Times New Roman"/>
          <w:sz w:val="24"/>
          <w:szCs w:val="24"/>
        </w:rPr>
        <w:t>бина (HbA1c) с 7,3% до 6,5%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&lt; 0,001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массы тела на 11,9 кг (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 0,001), ИМТ на 4,3 (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 0,001) и окружности талии </w:t>
      </w:r>
      <w:r w:rsidR="009C5B6E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11,0 см (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 0,001). Улучшения наблюдались и со стороны липидного обмена:</w:t>
      </w:r>
      <w:r w:rsidR="009C5B6E">
        <w:rPr>
          <w:rFonts w:ascii="Times New Roman" w:eastAsia="Times New Roman" w:hAnsi="Times New Roman" w:cs="Times New Roman"/>
          <w:sz w:val="24"/>
          <w:szCs w:val="24"/>
        </w:rPr>
        <w:t xml:space="preserve"> выявлено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снижение триглицеридов и общего холестерина, однако уровни холестерина липопротеинов высокой и низкой плотности (ХС-ЛПВП и ХС-ЛПНП), а также мочевой кислоты не изменились. Дво</w:t>
      </w:r>
      <w:r w:rsidR="009C5B6E">
        <w:rPr>
          <w:rFonts w:ascii="Times New Roman" w:eastAsia="Times New Roman" w:hAnsi="Times New Roman" w:cs="Times New Roman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9C5B6E"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B6E">
        <w:rPr>
          <w:rFonts w:ascii="Times New Roman" w:eastAsia="Times New Roman" w:hAnsi="Times New Roman" w:cs="Times New Roman"/>
          <w:sz w:val="24"/>
          <w:szCs w:val="24"/>
        </w:rPr>
        <w:t>удалось отменить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терапию инсулином, четверо смогли уменьшить дозировку пероральных противодиабетических препаратов, а шесть полностью прекратили прием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сахароснижающих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препаратов</w:t>
      </w:r>
      <w:r w:rsidR="009C5B6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показателями гликемии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>[25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Авторы пришли к выводу, что структурированная программа снижения массы тела может быть эффективным способом коррекции нарушений показателей углеводного и липидного обменов. </w:t>
      </w:r>
    </w:p>
    <w:p w14:paraId="2B1D8A85" w14:textId="399B182A" w:rsidR="00EF16F8" w:rsidRDefault="003930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 xml:space="preserve">В ходе </w:t>
      </w:r>
      <w:proofErr w:type="spellStart"/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>мультицентрового</w:t>
      </w:r>
      <w:proofErr w:type="spellEnd"/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 xml:space="preserve"> рандомизированного контролируемого исследования OPTIWIN на протяжении 52-х недель, в котором приняли участие 273 человека с ИМТ от 30 до 55</w:t>
      </w:r>
      <w:r w:rsidR="009C5B6E"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 xml:space="preserve"> кг/м</w:t>
      </w:r>
      <w:r w:rsidR="009C5B6E" w:rsidRPr="009C5B6E"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  <w:vertAlign w:val="superscript"/>
        </w:rPr>
        <w:t>2</w:t>
      </w:r>
      <w:r w:rsidR="009C5B6E"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 xml:space="preserve"> </w:t>
      </w:r>
      <w:r w:rsidR="009C5B6E"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>у</w:t>
      </w:r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>частники были разделены на две группы</w:t>
      </w:r>
      <w:r w:rsidR="009C5B6E"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 xml:space="preserve"> 1-я группа получала готовую программу замены еды (полная в течение первых 26 недель, частичная в последующие 26 недель), 2-я </w:t>
      </w:r>
      <w:r w:rsidR="009C5B6E"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>стандартную низкокалорийную диету. Диетическое вмешательство в группе ОПТИФАСТ было разделено на две фазы: 1-я фаза снижения в течение первых 26 недель, которая включала пять порций готового питания в день (общая калорийность 800 ккал) с введением дополнительно</w:t>
      </w:r>
      <w:r>
        <w:rPr>
          <w:rFonts w:ascii="Times New Roman" w:eastAsia="Times New Roman" w:hAnsi="Times New Roman" w:cs="Times New Roman"/>
          <w:color w:val="1C1D1E"/>
          <w:sz w:val="24"/>
          <w:szCs w:val="24"/>
        </w:rPr>
        <w:t>го приема пищи пациентам с ИМТ от 45 до 49,9 кг/м</w:t>
      </w:r>
      <w:r w:rsidRPr="009C5B6E">
        <w:rPr>
          <w:rFonts w:ascii="Times New Roman" w:eastAsia="Times New Roman" w:hAnsi="Times New Roman" w:cs="Times New Roman"/>
          <w:color w:val="1C1D1E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(960 ккал), а участникам с “супер ожирением” </w:t>
      </w:r>
      <w:r w:rsidR="009C5B6E">
        <w:rPr>
          <w:rFonts w:ascii="Times New Roman" w:eastAsia="Times New Roman" w:hAnsi="Times New Roman" w:cs="Times New Roman"/>
          <w:color w:val="1C1D1E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C1D1E"/>
          <w:sz w:val="24"/>
          <w:szCs w:val="24"/>
        </w:rPr>
        <w:t>ИМТ от 50 до 55 кг/м</w:t>
      </w:r>
      <w:r w:rsidRPr="009C5B6E">
        <w:rPr>
          <w:rFonts w:ascii="Times New Roman" w:eastAsia="Times New Roman" w:hAnsi="Times New Roman" w:cs="Times New Roman"/>
          <w:color w:val="1C1D1E"/>
          <w:sz w:val="24"/>
          <w:szCs w:val="24"/>
          <w:vertAlign w:val="superscript"/>
        </w:rPr>
        <w:t>2</w:t>
      </w:r>
      <w:r w:rsidR="009C5B6E">
        <w:rPr>
          <w:rFonts w:ascii="Times New Roman" w:eastAsia="Times New Roman" w:hAnsi="Times New Roman" w:cs="Times New Roman"/>
          <w:color w:val="1C1D1E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назначали </w:t>
      </w:r>
      <w:r>
        <w:rPr>
          <w:rFonts w:ascii="Times New Roman" w:eastAsia="Times New Roman" w:hAnsi="Times New Roman" w:cs="Times New Roman"/>
          <w:color w:val="1C1D1E"/>
          <w:sz w:val="24"/>
          <w:szCs w:val="24"/>
        </w:rPr>
        <w:lastRenderedPageBreak/>
        <w:t>шесть стандартных приемов пищи с добавлением 120 г н</w:t>
      </w:r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 xml:space="preserve">ежирного белкового продукта и одной порции </w:t>
      </w:r>
      <w:proofErr w:type="spellStart"/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>некрахмалистых</w:t>
      </w:r>
      <w:proofErr w:type="spellEnd"/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 xml:space="preserve"> овощей (общая калорийность 1100-1200 ккал). По прошествии 26 недель калорийность рациона участников первой группы была постепенно увеличена д</w:t>
      </w:r>
      <w:r w:rsidR="00F17048"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>ля</w:t>
      </w:r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 xml:space="preserve"> стабил</w:t>
      </w:r>
      <w:r w:rsidR="00F17048"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>изации</w:t>
      </w:r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 xml:space="preserve"> массы тела, в этот период участники употребляли от одного до двух продуктов ОПТИФАСТ в день. Рацион участников 2-й группы был представлен модифицированной версией диетического питания для профилактики диабета: ограничение калорий на 500-700 ккал в сутки от исходной </w:t>
      </w:r>
      <w:r w:rsidR="00F17048"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 xml:space="preserve">калорийности </w:t>
      </w:r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 xml:space="preserve">(жиры 25–30% от общего количества калорий). В результате исследования были получены следующие данные: снижение массы тела, окружности талии и общей жировой массы в группе ОПТИФАСТ было в среднем в 2 раза больше, чем в группе стандартной диеты. Кроме того, в группе ОПТИФАСТ достоверно снижался уровень глюкозы натощак и </w:t>
      </w:r>
      <w:proofErr w:type="spellStart"/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>гликированного</w:t>
      </w:r>
      <w:proofErr w:type="spellEnd"/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 xml:space="preserve"> гемоглобина, а также выраженность симптомов сахарного диабета 2 типа и метаболического синдрома. Уже на 26-й неделе САД/ДАД значительно снизились при использовании в группе ОПТИФАСТ по сравнению со стандартной диетой, у большей части пациентов было достигнуто АД ≤130/80 мм </w:t>
      </w:r>
      <w:proofErr w:type="spellStart"/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>рт.ст</w:t>
      </w:r>
      <w:proofErr w:type="spellEnd"/>
      <w:r>
        <w:rPr>
          <w:rFonts w:ascii="Times New Roman" w:eastAsia="Times New Roman" w:hAnsi="Times New Roman" w:cs="Times New Roman"/>
          <w:color w:val="1C1D1E"/>
          <w:sz w:val="24"/>
          <w:szCs w:val="24"/>
          <w:highlight w:val="white"/>
        </w:rPr>
        <w:t>.</w:t>
      </w:r>
      <w:r>
        <w:rPr>
          <w:rFonts w:ascii="Times New Roman" w:eastAsia="Gungsuh" w:hAnsi="Times New Roman" w:cs="Times New Roman"/>
          <w:color w:val="1C1D1E"/>
          <w:sz w:val="24"/>
          <w:szCs w:val="24"/>
          <w:highlight w:val="white"/>
        </w:rPr>
        <w:t xml:space="preserve"> (</w:t>
      </w:r>
      <w:r w:rsidRPr="0000187C">
        <w:rPr>
          <w:rFonts w:ascii="Times New Roman" w:eastAsia="Gungsuh" w:hAnsi="Times New Roman" w:cs="Times New Roman"/>
          <w:i/>
          <w:color w:val="1C1D1E"/>
          <w:sz w:val="24"/>
          <w:szCs w:val="24"/>
          <w:highlight w:val="white"/>
        </w:rPr>
        <w:t>p</w:t>
      </w:r>
      <w:r>
        <w:rPr>
          <w:rFonts w:ascii="Times New Roman" w:eastAsia="Gungsuh" w:hAnsi="Times New Roman" w:cs="Times New Roman"/>
          <w:color w:val="1C1D1E"/>
          <w:sz w:val="24"/>
          <w:szCs w:val="24"/>
          <w:highlight w:val="white"/>
        </w:rPr>
        <w:t xml:space="preserve"> = 0,024), снижение 10-летнего риска ассоциированных сердечно-сосудистых заболеваний (АССЗ) были более выражены в 1-й группе. Аналогичные результаты были получены и на 52-й неделе [26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</w:p>
    <w:p w14:paraId="2757CB36" w14:textId="16B667C0" w:rsidR="00EF16F8" w:rsidRDefault="003930A9" w:rsidP="00F1704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ффективность применения низкокалорийных диет при НАЖБП</w:t>
      </w:r>
    </w:p>
    <w:p w14:paraId="6E1BA79D" w14:textId="7CF06D9D" w:rsidR="00EF16F8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из коморбидных заболеваний, ассоциированны</w:t>
      </w:r>
      <w:r w:rsidR="00F17048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ожирением, является неалкогольная жировая болезнь печени (НАЖБП), которая наряду с ожирением вносит свой вклад в развитие сердечно-сосудистых заболеваний и СД 2. Лечение НАЖБП также включает в себя снижение массы тела, изменение стиля питания, подключение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нутритивной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поддержки и физической активности.</w:t>
      </w:r>
    </w:p>
    <w:p w14:paraId="35FA1970" w14:textId="556FF137" w:rsidR="00EF16F8" w:rsidRPr="0090136E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ретроспективном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когортном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исследовании, проводивш</w:t>
      </w:r>
      <w:r w:rsidR="00F17048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мся с 1992 по 2015 год, участникам предлагалась 26-недельная программа снижения массы тела с 6-ти или 12-недельным этапом полной замены пищи на жидкую диету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Optifast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900 ®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Nestlé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Канада). Характеристика участников исследования: 444 пациента, средний возраст составил 47,1 года +/- 10,9, 49 % пациентов были женского пола, средний ИМТ - 43,5 кг/м</w:t>
      </w:r>
      <w:r w:rsidRPr="00F1704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+/- 7,9. В результате у участников наблюдалось снижение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средний уровень АЛТ на исходно - 58,9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/л +/- 25,4, а после вмешательства - 32,3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/л +/- 28,1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&lt;0,01). Снижение массы тела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среднем </w:t>
      </w:r>
      <w:r w:rsidR="00F17048">
        <w:rPr>
          <w:rFonts w:ascii="Times New Roman" w:eastAsia="Times New Roman" w:hAnsi="Times New Roman" w:cs="Times New Roman"/>
          <w:sz w:val="24"/>
          <w:szCs w:val="24"/>
        </w:rPr>
        <w:t>составило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27,3 кг +/- 11,5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20,7% от исходно</w:t>
      </w:r>
      <w:r>
        <w:rPr>
          <w:rFonts w:ascii="Times New Roman" w:eastAsia="Times New Roman" w:hAnsi="Times New Roman" w:cs="Times New Roman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 пациентов с ожирением и исходн</w:t>
      </w:r>
      <w:r>
        <w:rPr>
          <w:rFonts w:ascii="Times New Roman" w:eastAsia="Times New Roman" w:hAnsi="Times New Roman" w:cs="Times New Roman"/>
          <w:sz w:val="24"/>
          <w:szCs w:val="24"/>
        </w:rPr>
        <w:t>о высоким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АЛТ снижение массы тела с помощью О</w:t>
      </w:r>
      <w:r>
        <w:rPr>
          <w:rFonts w:ascii="Times New Roman" w:eastAsia="Times New Roman" w:hAnsi="Times New Roman" w:cs="Times New Roman"/>
          <w:sz w:val="24"/>
          <w:szCs w:val="24"/>
        </w:rPr>
        <w:t>ПТИФАСТ</w:t>
      </w:r>
      <w:r w:rsidRPr="00901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>
        <w:rPr>
          <w:rFonts w:ascii="Times New Roman" w:eastAsia="Times New Roman" w:hAnsi="Times New Roman" w:cs="Times New Roman"/>
          <w:sz w:val="24"/>
          <w:szCs w:val="24"/>
        </w:rPr>
        <w:t>одило</w:t>
      </w:r>
      <w:r w:rsidRPr="00901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01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нормализации</w:t>
      </w:r>
      <w:r w:rsidRPr="00901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печени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</w:rPr>
        <w:t>27</w:t>
      </w:r>
      <w:r w:rsidRPr="0090136E">
        <w:rPr>
          <w:rFonts w:ascii="Times New Roman" w:eastAsia="Roboto" w:hAnsi="Times New Roman" w:cs="Times New Roman"/>
          <w:sz w:val="24"/>
          <w:szCs w:val="24"/>
          <w:highlight w:val="white"/>
        </w:rPr>
        <w:t>]</w:t>
      </w:r>
      <w:r w:rsidRPr="009013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AEAAA3" w14:textId="4285B0F5" w:rsidR="00EF16F8" w:rsidRDefault="003930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другом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проспективном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наблюдательном исследовании было показано достоверное уменьшение размеров печени, висцеральной и подкожной жировой ткани у 32 пациентов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морбидным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ожирением,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планирущих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бариатрическую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операцию</w:t>
      </w:r>
      <w:r w:rsidR="00F1704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этапе предоперационной подготовки после 12 недель программы ОПТИФАСТ [28].</w:t>
      </w:r>
    </w:p>
    <w:p w14:paraId="05D51DF6" w14:textId="1DE28903" w:rsidR="00EF16F8" w:rsidRDefault="003930A9" w:rsidP="00F1704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bookmarkStart w:id="0" w:name="_xfpmwec86evh"/>
      <w:bookmarkEnd w:id="0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Эффективность применения низкокалорийных диет в качестве подготовки к оперативному лечению ожирения</w:t>
      </w:r>
    </w:p>
    <w:p w14:paraId="5BEB2BAD" w14:textId="77777777" w:rsidR="00EF16F8" w:rsidRDefault="003930A9">
      <w:pPr>
        <w:spacing w:line="360" w:lineRule="auto"/>
        <w:ind w:firstLine="720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Наряду с консервативными методами лечения ожирения особое место занимает </w:t>
      </w:r>
      <w:proofErr w:type="spellStart"/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бариатрическая</w:t>
      </w:r>
      <w:proofErr w:type="spellEnd"/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хирургия. Оперативное вмешательство позволяет достичь и удержать сниженную массу тела в долгосрочной перспективе, что приводит к улучшению качества и продолжительности жизни пациентов.</w:t>
      </w:r>
    </w:p>
    <w:p w14:paraId="67F7665C" w14:textId="2126DDA7" w:rsidR="00EF16F8" w:rsidRDefault="003930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  <w:t xml:space="preserve">Вопрос питания </w:t>
      </w:r>
      <w:proofErr w:type="spellStart"/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бариатрических</w:t>
      </w:r>
      <w:proofErr w:type="spellEnd"/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пациентов стоит еще острее, чем у всех остальных пациентов с ожирением.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 крайне нуждаются в полноценном сбалансированном питании, обеспечивающем их всеми необходимыми витаминами и микроэлементами, сохран</w:t>
      </w:r>
      <w:r w:rsidR="00F17048">
        <w:rPr>
          <w:rFonts w:ascii="Times New Roman" w:eastAsia="Times New Roman" w:hAnsi="Times New Roman" w:cs="Times New Roman"/>
          <w:color w:val="000000"/>
          <w:sz w:val="24"/>
          <w:szCs w:val="24"/>
        </w:rPr>
        <w:t>яя при 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низкую калорийность и разнообразный вкус. </w:t>
      </w:r>
    </w:p>
    <w:p w14:paraId="191EC173" w14:textId="787A937F" w:rsidR="00EF16F8" w:rsidRDefault="003930A9" w:rsidP="00F17048">
      <w:pPr>
        <w:spacing w:line="360" w:lineRule="auto"/>
        <w:ind w:firstLine="720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Предоперационное снижение массы тела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важная составляющая в подготовке пациента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бариатрической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операции. Ожирение и сопутствующие ему заболевания, </w:t>
      </w:r>
      <w:r w:rsidR="00F17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т.ч.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неалкогольная жировая болезнь печени</w:t>
      </w:r>
      <w:r w:rsidR="00F170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факторами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17048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рисков, затрудненного доступа к оперативному полю </w:t>
      </w:r>
      <w:r>
        <w:rPr>
          <w:rFonts w:ascii="Times New Roman" w:eastAsia="Times New Roman" w:hAnsi="Times New Roman" w:cs="Times New Roman"/>
          <w:sz w:val="24"/>
          <w:szCs w:val="24"/>
        </w:rPr>
        <w:t>[29].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Питание </w:t>
      </w:r>
      <w:proofErr w:type="spellStart"/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бариатрических</w:t>
      </w:r>
      <w:proofErr w:type="spellEnd"/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пациентов подразумевает значительные изменения, связанные с уменьшением объема принимаемой пищи, затруднением усвоения нутриентов, бедностью вкусов</w:t>
      </w:r>
      <w:r w:rsidR="0000187C">
        <w:rPr>
          <w:rFonts w:asciiTheme="majorBidi" w:hAnsiTheme="majorBidi" w:cstheme="majorBidi"/>
          <w:color w:val="0D0D0D" w:themeColor="text1" w:themeTint="F2"/>
          <w:sz w:val="24"/>
          <w:szCs w:val="24"/>
        </w:rPr>
        <w:t>,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пред</w:t>
      </w:r>
      <w:r w:rsidR="00452829">
        <w:rPr>
          <w:rFonts w:asciiTheme="majorBidi" w:hAnsiTheme="majorBidi" w:cstheme="majorBidi"/>
          <w:color w:val="0D0D0D" w:themeColor="text1" w:themeTint="F2"/>
          <w:sz w:val="24"/>
          <w:szCs w:val="24"/>
        </w:rPr>
        <w:t>лагаемых до этого дня на рынке 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специализированного питания. С помощью продуктов питания в рамках низкокалорийных диет становится практически невозможно накормить такого пациента, не снизив их питательную ценность. Тем временем, одной из важнейших задач после операции является сохранение тенденции к потере веса на фоне физического здоровья. Поэтому важно как можно раньше назначить пациенту безопасную и эффективную программу снижения массы тела.</w:t>
      </w:r>
    </w:p>
    <w:p w14:paraId="4BF00D14" w14:textId="2E78C41F" w:rsidR="00EF16F8" w:rsidRDefault="003930A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В ретроспективном наблюдательном исследовании с 2014 г. по 2020 г. сравнили эффективность программы питания ОПТИФАСТ (ОПТ) с регулируемым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бандажированием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желудка (РБЖ) </w:t>
      </w:r>
      <w:r w:rsidR="00F17048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в отношении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снижени</w:t>
      </w:r>
      <w:r w:rsidR="00F17048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массы тела в течение 26 недель. Средний возраст участников </w:t>
      </w:r>
      <w:r w:rsidR="00F17048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составил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44,1±10,4 года, общее количество - 144, среди пациентов преобладали женщины (77%). Через 26 недель исследователи оценили процент снижения массы тела: в группе ОПТ - 19,6 ± 6,8%, а в группе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бандажирования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- 11,9 ± 6,7 (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&lt; 0,001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). Оба метода являются эффективными при подготовке пациента к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бариатрической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хирургии, однако соблюдение программы сбалансированного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lastRenderedPageBreak/>
        <w:t xml:space="preserve">низкокалорийного питания способствует клинически более эффективному снижению веса, </w:t>
      </w:r>
      <w:r w:rsidR="007E2973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обеспечивая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низкую частоту осложнений [30].</w:t>
      </w:r>
    </w:p>
    <w:p w14:paraId="533289DD" w14:textId="77777777" w:rsidR="00EF16F8" w:rsidRDefault="003930A9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ab/>
        <w:t xml:space="preserve">В другом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мультицентровом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рандомизированном клиническом исследовании 294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бариатрических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пациентов сравнивали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предбариатрическую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подготовку с помощью низкокалорийной программы ОПТИФАСТ в течение 2х недель с обычной стандартной предоперационной подготовкой. В течение 30 суток послеоперационного периода в контрольной группе наблюдалось значительно большее количество осложнений по сравнению с группой ОПТИФАСТ (18 против 8,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= 0,04) [31].</w:t>
      </w:r>
    </w:p>
    <w:p w14:paraId="54DFB5B5" w14:textId="77777777" w:rsidR="00EF16F8" w:rsidRDefault="003930A9">
      <w:pPr>
        <w:spacing w:line="36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1" w:name="_lrdjt8z50wv4"/>
      <w:bookmarkStart w:id="2" w:name="_f67kf8b3kayj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рограмма ОПТИФАСТ повышает приверженность низкокалорийной диете после операции, создает предпосылки для улучшения хирургического доступа и снижения риска послеоперационных осложнений при соблюдении от 2 до 12 недель перед операцией.</w:t>
      </w:r>
    </w:p>
    <w:p w14:paraId="254AB31A" w14:textId="6664F0D0" w:rsidR="00EF16F8" w:rsidRDefault="003930A9" w:rsidP="007E297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highlight w:val="white"/>
        </w:rPr>
        <w:t>Заключение</w:t>
      </w:r>
    </w:p>
    <w:p w14:paraId="3DC5B7D3" w14:textId="6F246DB6" w:rsidR="00EF16F8" w:rsidRDefault="003930A9">
      <w:pPr>
        <w:spacing w:line="360" w:lineRule="auto"/>
        <w:ind w:firstLine="720"/>
        <w:jc w:val="both"/>
      </w:pPr>
      <w:bookmarkStart w:id="3" w:name="_49lqshl91gxs"/>
      <w:bookmarkStart w:id="4" w:name="_fqpvgov9r5wl"/>
      <w:bookmarkEnd w:id="3"/>
      <w:bookmarkEnd w:id="4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ограмма ОПТИФАСТ обеспечивает более надежную потерю массы тела и профилактику нарушений обмена веществ, чем стандартная низкокалорийная диета, за счет возможности более точного и регулярного получения всех необходимых нутриентов при низком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калораже</w:t>
      </w:r>
      <w:proofErr w:type="spellEnd"/>
      <w:r w:rsidR="007E297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на фоне устойчивого снижения массы тела </w:t>
      </w:r>
      <w:r w:rsidR="007E2973">
        <w:rPr>
          <w:rFonts w:ascii="Times New Roman" w:hAnsi="Times New Roman" w:cs="Times New Roman"/>
          <w:sz w:val="24"/>
          <w:szCs w:val="24"/>
        </w:rPr>
        <w:t>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73">
        <w:rPr>
          <w:rFonts w:ascii="Times New Roman" w:hAnsi="Times New Roman" w:cs="Times New Roman"/>
          <w:sz w:val="24"/>
          <w:szCs w:val="24"/>
        </w:rPr>
        <w:t xml:space="preserve">улучшению течения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E2973">
        <w:rPr>
          <w:rFonts w:ascii="Times New Roman" w:hAnsi="Times New Roman" w:cs="Times New Roman"/>
          <w:sz w:val="24"/>
          <w:szCs w:val="24"/>
        </w:rPr>
        <w:t xml:space="preserve">уменьшению </w:t>
      </w:r>
      <w:r>
        <w:rPr>
          <w:rFonts w:ascii="Times New Roman" w:hAnsi="Times New Roman" w:cs="Times New Roman"/>
          <w:sz w:val="24"/>
          <w:szCs w:val="24"/>
        </w:rPr>
        <w:t>рисков возникновения таких серьезных патологий, как сахарный диабет 2 типа и метаболический синдром</w:t>
      </w:r>
      <w:r w:rsidR="007E297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пациента всеми необходимыми питательными веществами и дает ему чувство сытости, необходимое для высокой приверженности соблюдения низкокалорийной диеты. </w:t>
      </w:r>
    </w:p>
    <w:p w14:paraId="6529E926" w14:textId="3EEC798F" w:rsidR="00EF16F8" w:rsidRDefault="003930A9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Подход к лечению пациентов с ожирением должен быть комплексным и включать все возможности для достижения создания платформы здорового образа жизни: освоение здорового стиля питания, индивидуально подобранная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нутритивная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поддержка и физическая активность, а также лечение </w:t>
      </w:r>
      <w:r w:rsidR="007E2973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сопутствующих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заболеваний, что в совокупности буд</w:t>
      </w:r>
      <w:r w:rsidR="007E2973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т положительно влиять на </w:t>
      </w:r>
      <w:r w:rsidR="007E2973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лечение ожирения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и </w:t>
      </w:r>
      <w:r w:rsidR="007E2973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повышение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качеств</w:t>
      </w:r>
      <w:r w:rsidR="007E2973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жизни в долгосрочной перспективе</w:t>
      </w:r>
      <w:r>
        <w:t xml:space="preserve">. </w:t>
      </w:r>
    </w:p>
    <w:p w14:paraId="13E24C4C" w14:textId="77777777" w:rsidR="00EF16F8" w:rsidRDefault="003930A9">
      <w:pPr>
        <w:pStyle w:val="3"/>
        <w:keepNext w:val="0"/>
        <w:keepLines w:val="0"/>
        <w:shd w:val="clear" w:color="auto" w:fill="FFFFFF"/>
        <w:spacing w:before="800" w:after="80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5" w:name="_ozyv7wa02g86"/>
      <w:bookmarkEnd w:id="5"/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Информация о конфликте интересов.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Авторы декларируют отсутствие явных и потенциальных конфликтов интересов, связанных с содержанием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настоящеи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̆ статьи. </w:t>
      </w:r>
    </w:p>
    <w:p w14:paraId="07CB9397" w14:textId="77777777" w:rsidR="00EF0A2D" w:rsidRDefault="00EF0A2D">
      <w:pPr>
        <w:spacing w:line="360" w:lineRule="auto"/>
        <w:ind w:right="30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bookmarkStart w:id="6" w:name="_cwjtjb911ul7"/>
      <w:bookmarkStart w:id="7" w:name="_psajkno60fax"/>
      <w:bookmarkEnd w:id="6"/>
      <w:bookmarkEnd w:id="7"/>
    </w:p>
    <w:p w14:paraId="4CECBBBD" w14:textId="77777777" w:rsidR="00EF0A2D" w:rsidRDefault="00EF0A2D">
      <w:pPr>
        <w:spacing w:line="360" w:lineRule="auto"/>
        <w:ind w:right="30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14:paraId="6B95ABE4" w14:textId="27E9BC62" w:rsidR="00EF16F8" w:rsidRDefault="003930A9">
      <w:pPr>
        <w:spacing w:line="360" w:lineRule="auto"/>
        <w:ind w:right="30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Список литературы:</w:t>
      </w:r>
    </w:p>
    <w:p w14:paraId="67F03114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Здравоохранение в России. 2023: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Стат.сб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./Росстат. - М., З-46 2023. – 179 с., </w:t>
      </w:r>
      <w:hyperlink r:id="rId7" w:history="1">
        <w:r>
          <w:rPr>
            <w:rFonts w:ascii="Times New Roman" w:eastAsia="Times New Roman" w:hAnsi="Times New Roman" w:cs="Times New Roman"/>
            <w:color w:val="111111"/>
            <w:sz w:val="24"/>
            <w:szCs w:val="24"/>
            <w:highlight w:val="white"/>
          </w:rPr>
          <w:t>https://rosstat.gov.ru/storage/mediabank/Zdravoohran-2023.pdf</w:t>
        </w:r>
      </w:hyperlink>
    </w:p>
    <w:p w14:paraId="0497B1CC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Дедов И.И., Шестакова М.В.,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Галстян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Г.Р. Распространенность сахарного диабета 2 типа у взрослого населения России (исследование NATION) // Сахарный диабет. —2016. — Т.19. — No2. — С.104-112.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doi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: 10.14341/DM2004116-17</w:t>
      </w:r>
    </w:p>
    <w:p w14:paraId="4A8C974E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͘</w:t>
      </w:r>
      <w:hyperlink r:id="rId8" w:history="1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https://www.who.int/europe/initiatives/who-european-childhood-obesity-surveillance-initiative-(cosi)</w:t>
        </w:r>
      </w:hyperlink>
    </w:p>
    <w:p w14:paraId="0E956E05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World Obesity Federation. World obesity atlas 2022.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(London: World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Obesity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Federation) (2022).</w:t>
      </w:r>
    </w:p>
    <w:p w14:paraId="15AA71C3" w14:textId="77777777" w:rsidR="00EF16F8" w:rsidRPr="004A7B5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Ley S.H.,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Ardisson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 K. A.V., Sun Q. et al. Contribution of the Nurses' Health Studies to Uncovering Risk Factors for Type 2 Diabetes: Diet, Lifestyle, Biomarkers, and Genetics. </w:t>
      </w:r>
      <w:r w:rsidRPr="004A7B58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Am J Public Health. 2016 Sep; 106 (9):1624</w:t>
      </w:r>
      <w:r w:rsidRPr="004A7B58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lang w:val="en-US"/>
        </w:rPr>
        <w:t xml:space="preserve">— </w:t>
      </w:r>
      <w:r w:rsidRPr="004A7B58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30. </w:t>
      </w:r>
      <w:proofErr w:type="spellStart"/>
      <w:r w:rsidRPr="004A7B58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>doi</w:t>
      </w:r>
      <w:proofErr w:type="spellEnd"/>
      <w:r w:rsidRPr="004A7B58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val="en-US"/>
        </w:rPr>
        <w:t xml:space="preserve">: 10.2105/AJPH.2016.303314. </w:t>
      </w:r>
    </w:p>
    <w:p w14:paraId="46DB054E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Дедов И.И.,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Мокрышева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Н.Г., Мельниченко Г.А. и др. Ожирение. Клинические рекомендации.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Consilium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Medicum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 2021; 23 (4): 311–325. DOI: 10.26442/20751753.2021.4.200832.</w:t>
      </w:r>
    </w:p>
    <w:p w14:paraId="5B675567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Здравоохранения РФ. Методические руководства. Стандарты лечебного питания. 2017 г. ID: МР100).</w:t>
      </w:r>
    </w:p>
    <w:p w14:paraId="264448FB" w14:textId="77777777" w:rsidR="00EF16F8" w:rsidRPr="001559FD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lang w:val="en-US"/>
        </w:rPr>
      </w:pP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Ley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,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Sylvia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&amp;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Korat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,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Andres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&amp;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Sun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,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Qi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&amp;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Tobias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,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Deirdre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&amp;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Zhang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, </w:t>
      </w:r>
      <w:proofErr w:type="spellStart"/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Cuilin</w:t>
      </w:r>
      <w:proofErr w:type="spellEnd"/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&amp;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Qi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,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Lu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&amp;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Willett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,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Walter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&amp;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Manson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,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JoAnn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&amp;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Hu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,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Frank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. </w:t>
      </w:r>
      <w:r w:rsidRPr="0090136E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(2016). Contribution of the Nurses’ Health Studies to Uncovering Risk Factors for Type 2 Diabetes: Diet, Lifestyle, Biomarkers, and Genetics. </w:t>
      </w:r>
      <w:r w:rsidRPr="004A7B58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American Journal of Public Health. 106. e1-e7. </w:t>
      </w:r>
      <w:r w:rsidRPr="001559FD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10.2105/AJPH.2016.303314.</w:t>
      </w:r>
    </w:p>
    <w:p w14:paraId="24B082A0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Ruze</w:t>
      </w:r>
      <w:proofErr w:type="spellEnd"/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Liu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Zou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Song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Chen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Xu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Yin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Xu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2023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Obesity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type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diabetes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mellitus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connections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epidemiology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pathogenesis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treatments</w:t>
      </w:r>
      <w:r w:rsidRPr="0015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Front.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Endocrinol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14:1161521.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10.3389/fendo.2023.1161521.</w:t>
      </w:r>
    </w:p>
    <w:p w14:paraId="22900BDE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Czech MP. Mechanisms of insulin resistance related to white, beige, and brown adipocytes. Mol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(2020) 34:27–42.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10.1016/j.molmet.2019.12.014], [6.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R, Liu T, Zou X, Song J, Chen Y, Xu R, Yin X and Xu Q (2023) Obesity and type 2 diabetes mellitus: connections in epidemiology, pathogenesis, and treatments. Front. Endocrinol. 14:1161521.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10.3389/fendo.2023.1161521.</w:t>
      </w:r>
    </w:p>
    <w:p w14:paraId="0B241207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Tao C, Holland WL, Wang QA, Shao M, Jia L, Sun K, et al. Short-term versus long-term effects of adipocyte toll-like receptor 4 activation on insulin resistance in Male mice. Endocrinology (2017) 158(5):1260–70.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10.1210/en.2017-00024.</w:t>
      </w:r>
    </w:p>
    <w:p w14:paraId="01D449DF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Chavez JA, Summers SA. Characterizing the effects of saturated fatty acids on insulin signaling and ceramide and diacylglycerol accumulation in 3T3-L1 adipocytes and C2C12 myotubes. Arch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Biochem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Biophys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(2003) 419(2):101–9.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10.1016/j.abb.2003.08.020.</w:t>
      </w:r>
    </w:p>
    <w:p w14:paraId="4822B3BF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Frakes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Dillin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 The UPR: sensor and coordinator of organismal homeostasis. Mol Cell (2017) 66(6):761–71.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10.1016/j.molcel.2017.05.031.</w:t>
      </w:r>
    </w:p>
    <w:p w14:paraId="76568805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AZ, Lanza IR. Insulin-sensitizing effects of omega-3 fatty acids: lost in translation? Nutrients (2016) 8(6):329.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10.3390/nu8060329.</w:t>
      </w:r>
    </w:p>
    <w:p w14:paraId="70AD0C4B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Frost 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Sleeth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Sahuri-Arisoylu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Lizarbe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S, Brody L, et al. The short-chain fatty acid acetate reduces appetite via a central homeostatic mechanism. Nat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(2014) 5:3611.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10.1038/ncomms4611.</w:t>
      </w:r>
    </w:p>
    <w:p w14:paraId="39BD896A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Neinast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Murashige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Z. Branched chain amino acids.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Physiol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(2019) 81:139–64.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10.1146/annurev-physiol-020518-114455],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Siddik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MAB, Shin AC. Recent progress on branched-chain amino acids in obesity, diabetes, and beyond. Endocrinol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(Seoul Korea) (2019) 34(3):234–46.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10.3803/EnM.2019.34.3.234. </w:t>
      </w:r>
    </w:p>
    <w:p w14:paraId="374D7E33" w14:textId="77777777" w:rsidR="00EF16F8" w:rsidRPr="004A7B5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Pedersen HK,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Gudmundsdottir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V, Nielsen HB,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Hyotylainen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T, Nielsen T, Jensen BAH, et al. Human gut microbes impact host serum metabolome and insulin sensitivity. Nature (2016) 535(7612):376–81.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10.1038/nature18646. </w:t>
      </w:r>
    </w:p>
    <w:p w14:paraId="32EF4A70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Chatelier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E, Nielsen T, Qin J,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Prifti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E, Hildebrand 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Falony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G, et al. Richness of human gut microbiome correlates with metabolic markers. Nature (2013) 500(7464):541–6.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10.1038/nature12506</w:t>
      </w:r>
    </w:p>
    <w:p w14:paraId="21077159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Torres-Fuentes 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Schellekens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JF. The microbiota-gut-brain axis in obesity. Lancet Gastroenterol Hepatol (2017) 2(10):747–56.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10.1016/S2468-1253(17)30147-4.</w:t>
      </w:r>
    </w:p>
    <w:p w14:paraId="359421D3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Grasset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Burcelin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 The gut microbiota to the brain axis in the metabolic control. Rev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Endocr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(2019) 20(4):427–38.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10.1007/s11154-019-09511-1.</w:t>
      </w:r>
    </w:p>
    <w:p w14:paraId="0EE261DD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36E">
        <w:rPr>
          <w:rFonts w:ascii="Times New Roman" w:eastAsia="Times New Roman" w:hAnsi="Times New Roman" w:cs="Times New Roman"/>
          <w:sz w:val="24"/>
          <w:szCs w:val="24"/>
          <w:lang w:val="en-US"/>
        </w:rPr>
        <w:t>Mustajoki</w:t>
      </w:r>
      <w:proofErr w:type="spellEnd"/>
      <w:r w:rsidRPr="009013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and T. </w:t>
      </w:r>
      <w:proofErr w:type="spellStart"/>
      <w:r w:rsidRPr="0090136E">
        <w:rPr>
          <w:rFonts w:ascii="Times New Roman" w:eastAsia="Times New Roman" w:hAnsi="Times New Roman" w:cs="Times New Roman"/>
          <w:sz w:val="24"/>
          <w:szCs w:val="24"/>
          <w:lang w:val="en-US"/>
        </w:rPr>
        <w:t>Pekkarinen</w:t>
      </w:r>
      <w:proofErr w:type="spellEnd"/>
      <w:r w:rsidRPr="009013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Very low energy diets in the treatment of obesity.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2001. 2(1): p. 61-72.</w:t>
      </w:r>
    </w:p>
    <w:p w14:paraId="1DD11655" w14:textId="77777777" w:rsidR="00EF16F8" w:rsidRPr="004A7B5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0136E">
        <w:rPr>
          <w:rFonts w:ascii="Times New Roman" w:eastAsia="Times New Roman" w:hAnsi="Times New Roman" w:cs="Times New Roman"/>
          <w:sz w:val="24"/>
          <w:szCs w:val="24"/>
          <w:lang w:val="en-US"/>
        </w:rPr>
        <w:t>Ard</w:t>
      </w:r>
      <w:proofErr w:type="spellEnd"/>
      <w:r w:rsidRPr="009013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JD, et al. Obesity (Silver Spring). </w:t>
      </w:r>
      <w:r w:rsidRPr="004A7B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2019; 27(1):22-29 – OPTIWIN Study 2. </w:t>
      </w:r>
    </w:p>
    <w:p w14:paraId="79527372" w14:textId="77777777" w:rsidR="00EF16F8" w:rsidRPr="004A7B5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136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Bischoff et al. Multicenter evaluation of an interdisciplinary 52-week weight loss program for obesity with regard to body weight, comorbidities and quality of life—a prospective study. </w:t>
      </w:r>
      <w:r w:rsidRPr="004A7B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International Journal of Obesity (2012) 36, 614–624, </w:t>
      </w:r>
      <w:proofErr w:type="spellStart"/>
      <w:r w:rsidRPr="004A7B5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doi</w:t>
      </w:r>
      <w:proofErr w:type="spellEnd"/>
      <w:r w:rsidRPr="004A7B5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: 10.1038/ijo.2011.107.</w:t>
      </w:r>
    </w:p>
    <w:p w14:paraId="6B23E1EF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Tricò</w:t>
      </w:r>
      <w:proofErr w:type="spellEnd"/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D.; </w:t>
      </w:r>
      <w:proofErr w:type="spellStart"/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Moriconi</w:t>
      </w:r>
      <w:proofErr w:type="spellEnd"/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D.; Berta, R.; </w:t>
      </w:r>
      <w:proofErr w:type="spellStart"/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Baldi</w:t>
      </w:r>
      <w:proofErr w:type="spellEnd"/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S.; Quinones-Galvan, A.; </w:t>
      </w:r>
      <w:proofErr w:type="spellStart"/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Guiducci</w:t>
      </w:r>
      <w:proofErr w:type="spellEnd"/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L.; </w:t>
      </w:r>
      <w:proofErr w:type="spellStart"/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Taddei</w:t>
      </w:r>
      <w:proofErr w:type="spellEnd"/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S.; Mari, A.; </w:t>
      </w:r>
      <w:proofErr w:type="spellStart"/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Nannipieri</w:t>
      </w:r>
      <w:proofErr w:type="spellEnd"/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M. Effects of Low-Carbohydrate versus Mediterranean Diets on Weight Loss, Glucose Metabolism, Insulin Kinetics and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β</w:t>
      </w:r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-Cell Function in Morbidly Obese Individuals.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Nutrients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1345. https://doi.org/10.3390/nu13041345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9F8209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Storck</w:t>
      </w:r>
      <w:proofErr w:type="spellEnd"/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LJ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Meffert</w:t>
      </w:r>
      <w:proofErr w:type="spellEnd"/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PJ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Rausch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J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G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ä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rtner</w:t>
      </w:r>
      <w:proofErr w:type="spellEnd"/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Aghdassi</w:t>
      </w:r>
      <w:proofErr w:type="spellEnd"/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AA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K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hn</w:t>
      </w:r>
      <w:proofErr w:type="spellEnd"/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JP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Kraft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Pietzner</w:t>
      </w:r>
      <w:proofErr w:type="spellEnd"/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Lerch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MM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Steveling</w:t>
      </w:r>
      <w:proofErr w:type="spellEnd"/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Efficiency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of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15-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Week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Weight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Loss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Program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Including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Low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Calorie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Formula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Diet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on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Glycemic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Control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in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Patients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with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Type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Diabetes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Mellitus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and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Overweight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or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Obesity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2021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18;14(1):1-11.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10.1159/000511453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4C88FC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6EE">
        <w:rPr>
          <w:rFonts w:ascii="Times New Roman" w:eastAsia="Times New Roman" w:hAnsi="Times New Roman" w:cs="Times New Roman"/>
          <w:sz w:val="24"/>
          <w:szCs w:val="24"/>
          <w:highlight w:val="white"/>
          <w:lang w:val="nl-NL"/>
        </w:rPr>
        <w:t xml:space="preserve">Ard JD, Neeland IJ, Rothberg AE, et al.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The OPTIFAST total and partial meal replacement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reduces cardiometabolic risk in adults with obesity: Secondary and exploratory analysis of the OPTIWIN study.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Diabetes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Obes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Metab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2024; 26(3): 950-960. doi: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10.1111/dom.15392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2FECBB" w14:textId="58D5EA35" w:rsidR="00EF16F8" w:rsidRPr="00EF0A2D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Meddings</w:t>
      </w:r>
      <w:proofErr w:type="spellEnd"/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Maybury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Kelly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Dent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R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Bielawska</w:t>
      </w:r>
      <w:proofErr w:type="spellEnd"/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B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. </w:t>
      </w:r>
      <w:r w:rsidR="00EF0A2D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proofErr w:type="spellStart"/>
      <w:r w:rsidR="00EF0A2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hange</w:t>
      </w:r>
      <w:proofErr w:type="spellEnd"/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F0A2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in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F0A2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alt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F0A2D"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during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F0A2D"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modified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proofErr w:type="spellStart"/>
      <w:r w:rsidR="00EF0A2D"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optifast</w:t>
      </w:r>
      <w:proofErr w:type="spellEnd"/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F0A2D"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weight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F0A2D"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loss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F0A2D"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program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F0A2D"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in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F0A2D"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individuals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F0A2D"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at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F0A2D"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risk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F0A2D"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for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F0A2D"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non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-</w:t>
      </w:r>
      <w:r w:rsidR="00EF0A2D"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alcoholic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F0A2D"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fatty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F0A2D"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liver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EF0A2D"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disease</w:t>
      </w:r>
      <w:r w:rsidR="00EF0A2D"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</w:t>
      </w:r>
      <w:r w:rsidRPr="001559F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Pr="00EF0A2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J Can Assoc Gastroenterol. 2023 Mar 7;6(Suppl 1):95–6. </w:t>
      </w:r>
      <w:proofErr w:type="spellStart"/>
      <w:r w:rsidRPr="00EF0A2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doi</w:t>
      </w:r>
      <w:proofErr w:type="spellEnd"/>
      <w:r w:rsidRPr="00EF0A2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: 10.1093/</w:t>
      </w:r>
      <w:proofErr w:type="spellStart"/>
      <w:r w:rsidRPr="00EF0A2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jcag</w:t>
      </w:r>
      <w:proofErr w:type="spellEnd"/>
      <w:r w:rsidRPr="00EF0A2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/gwac036.285.</w:t>
      </w:r>
    </w:p>
    <w:p w14:paraId="0499C330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Colles</w:t>
      </w:r>
      <w:proofErr w:type="spellEnd"/>
      <w:r w:rsidRPr="0090136E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S.L., et al., Preoperative weight loss with a very-low-energy diet: quantitation of changes in liver and abdominal fat by serial imaging.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American Journal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Clinical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Nutr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, 2006. 84(2): p. 304-11).</w:t>
      </w:r>
    </w:p>
    <w:p w14:paraId="19E1C8A7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V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an Wissen, J., et al., Preoperative Methods to Reduce Liver Volume in Bariatric Surgery: a Systematic Review. </w:t>
      </w:r>
      <w:proofErr w:type="spellStart"/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Obes</w:t>
      </w:r>
      <w:proofErr w:type="spellEnd"/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Surg</w:t>
      </w:r>
      <w:proofErr w:type="spellEnd"/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, 2016. 26(2): p. 251-6.</w:t>
      </w:r>
    </w:p>
    <w:p w14:paraId="05DB7BB3" w14:textId="77777777" w:rsidR="00EF16F8" w:rsidRDefault="003930A9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Oster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M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,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Hein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N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, </w:t>
      </w:r>
      <w:proofErr w:type="spellStart"/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Aksan</w:t>
      </w:r>
      <w:proofErr w:type="spellEnd"/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A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, </w:t>
      </w:r>
      <w:proofErr w:type="spellStart"/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Krammer</w:t>
      </w:r>
      <w:proofErr w:type="spellEnd"/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H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, </w:t>
      </w:r>
      <w:proofErr w:type="spellStart"/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Theodoridou</w:t>
      </w:r>
      <w:proofErr w:type="spellEnd"/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S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,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Stein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J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.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Efficacy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and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Safety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of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Intragastric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Balloon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Therapy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Compared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to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a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Multidisciplinary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Weight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Loss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Program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(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OPTIFAST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)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in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a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Real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-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World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Population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: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A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Propensity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Score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Matching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Analysis</w:t>
      </w:r>
      <w:r w:rsidRPr="001559FD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Obes</w:t>
      </w:r>
      <w:proofErr w:type="spellEnd"/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Facts. 2023;16(1):89-98. </w:t>
      </w:r>
      <w:proofErr w:type="spellStart"/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doi</w:t>
      </w:r>
      <w:proofErr w:type="spellEnd"/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: 10.1159/000524895.</w:t>
      </w:r>
    </w:p>
    <w:p w14:paraId="50252B03" w14:textId="2186D6B0" w:rsidR="00EF16F8" w:rsidRPr="007E2973" w:rsidRDefault="003930A9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Van </w:t>
      </w:r>
      <w:proofErr w:type="spellStart"/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Nieuwenhove</w:t>
      </w:r>
      <w:proofErr w:type="spellEnd"/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, Y., et al., Preoperative very low-calorie diet and operative outcome after laparoscopic gastric bypass: a randomized multicenter study. Archives of Surgery, 2011.146(11):p.1300</w:t>
      </w:r>
      <w:r w:rsidR="007E2973" w:rsidRPr="007E2973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-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5.</w:t>
      </w:r>
      <w:r w:rsidR="007E2973" w:rsidRPr="007E2973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</w:p>
    <w:p w14:paraId="5D48E377" w14:textId="3C0B5771" w:rsidR="00EF16F8" w:rsidRPr="0090136E" w:rsidRDefault="003930A9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lastRenderedPageBreak/>
        <w:t>Информация</w:t>
      </w:r>
      <w:r w:rsidRPr="0090136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об</w:t>
      </w:r>
      <w:r w:rsidRPr="0090136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авторах</w:t>
      </w:r>
      <w:r w:rsidRPr="0090136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 xml:space="preserve">: </w:t>
      </w:r>
    </w:p>
    <w:p w14:paraId="504B32BB" w14:textId="77777777" w:rsidR="00EF16F8" w:rsidRPr="0090136E" w:rsidRDefault="003930A9">
      <w:pPr>
        <w:spacing w:line="360" w:lineRule="auto"/>
        <w:ind w:left="360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Трошина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Екатерина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Анатольевна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д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м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н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.,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профессор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член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-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корреспондент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РАН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[Ekaterina A. </w:t>
      </w:r>
      <w:proofErr w:type="spellStart"/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Troshina</w:t>
      </w:r>
      <w:proofErr w:type="spellEnd"/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, MD, PhD, professor]; ORCID: https://orcid.org/0000-0002-8520-8702; </w:t>
      </w:r>
      <w:proofErr w:type="spellStart"/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eLibrary</w:t>
      </w:r>
      <w:proofErr w:type="spellEnd"/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SPIN: 8821-8990; e-mail: troshina@inbox.ru</w:t>
      </w:r>
    </w:p>
    <w:p w14:paraId="6FE61C5A" w14:textId="77777777" w:rsidR="00EF16F8" w:rsidRPr="0090136E" w:rsidRDefault="00EF16F8">
      <w:pPr>
        <w:spacing w:line="360" w:lineRule="auto"/>
        <w:ind w:left="360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p w14:paraId="69DAA287" w14:textId="77777777" w:rsidR="00EF16F8" w:rsidRPr="0090136E" w:rsidRDefault="003930A9">
      <w:pPr>
        <w:spacing w:line="360" w:lineRule="auto"/>
        <w:ind w:left="360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>
        <w:rPr>
          <w:rFonts w:ascii="sans-serif"/>
          <w:color w:val="000000"/>
          <w:sz w:val="18"/>
          <w:lang w:val="en-US"/>
        </w:rPr>
        <w:t>*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Комшилова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Ксения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Андреевна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к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м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н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. [Kseniya A. Komshilova, PhD]; ORCID: https://orcid.org/0000-0002-6624-2374; </w:t>
      </w:r>
      <w:proofErr w:type="spellStart"/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eLibrary</w:t>
      </w:r>
      <w:proofErr w:type="spellEnd"/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SPIN: 2880-9644; e-mail: Komshilova.Kseniya@endocrincentr.ru</w:t>
      </w:r>
    </w:p>
    <w:p w14:paraId="0399FC60" w14:textId="77777777" w:rsidR="00EF16F8" w:rsidRPr="0090136E" w:rsidRDefault="00EF16F8">
      <w:pPr>
        <w:spacing w:line="360" w:lineRule="auto"/>
        <w:ind w:left="360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p w14:paraId="45738E7F" w14:textId="77777777" w:rsidR="00EF16F8" w:rsidRPr="0090136E" w:rsidRDefault="003930A9">
      <w:pPr>
        <w:spacing w:line="360" w:lineRule="auto"/>
        <w:ind w:left="360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Силина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Наталья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Валерьевна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[Natalia V. </w:t>
      </w:r>
      <w:proofErr w:type="spellStart"/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Silina</w:t>
      </w:r>
      <w:proofErr w:type="spellEnd"/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, MD]; ORCID: https://orcid.org/0000-0001-6170-6603; e-mail: similnatav@mail.ru</w:t>
      </w:r>
    </w:p>
    <w:p w14:paraId="7D2E6AA3" w14:textId="77777777" w:rsidR="00EF16F8" w:rsidRPr="0090136E" w:rsidRDefault="00EF16F8">
      <w:pPr>
        <w:spacing w:line="360" w:lineRule="auto"/>
        <w:ind w:left="360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p w14:paraId="78BDDA82" w14:textId="77777777" w:rsidR="00EF16F8" w:rsidRPr="0090136E" w:rsidRDefault="003930A9">
      <w:pPr>
        <w:spacing w:line="360" w:lineRule="auto"/>
        <w:ind w:left="360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Ершова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Екатерина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Владимировна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к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м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н</w:t>
      </w:r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. [Ekaterina V. </w:t>
      </w:r>
      <w:proofErr w:type="spellStart"/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Ershova</w:t>
      </w:r>
      <w:proofErr w:type="spellEnd"/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, MD, PhD]; ORCID: https://orcid.org/0000-0002-6220-4397; </w:t>
      </w:r>
      <w:proofErr w:type="spellStart"/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eLibrary</w:t>
      </w:r>
      <w:proofErr w:type="spellEnd"/>
      <w:r w:rsidRPr="0090136E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SPIN: 6728-3764; e-mail: yu99pol06@rambler.ru </w:t>
      </w:r>
    </w:p>
    <w:p w14:paraId="2674B1A0" w14:textId="77777777" w:rsidR="00EF16F8" w:rsidRPr="0090136E" w:rsidRDefault="00EF16F8">
      <w:pPr>
        <w:spacing w:line="360" w:lineRule="auto"/>
        <w:ind w:left="360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sectPr w:rsidR="00EF16F8" w:rsidRPr="009013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52CB"/>
    <w:multiLevelType w:val="hybridMultilevel"/>
    <w:tmpl w:val="1DEC4C64"/>
    <w:lvl w:ilvl="0" w:tplc="EF4E188C">
      <w:start w:val="1"/>
      <w:numFmt w:val="decimal"/>
      <w:lvlText w:val="%1."/>
      <w:lvlJc w:val="left"/>
      <w:pPr>
        <w:ind w:left="720" w:hanging="360"/>
      </w:pPr>
    </w:lvl>
    <w:lvl w:ilvl="1" w:tplc="17C2CD42">
      <w:start w:val="1"/>
      <w:numFmt w:val="lowerLetter"/>
      <w:lvlText w:val="%2."/>
      <w:lvlJc w:val="left"/>
      <w:pPr>
        <w:ind w:left="1440" w:hanging="360"/>
      </w:pPr>
    </w:lvl>
    <w:lvl w:ilvl="2" w:tplc="1682F03E">
      <w:start w:val="1"/>
      <w:numFmt w:val="lowerRoman"/>
      <w:lvlText w:val="%3."/>
      <w:lvlJc w:val="right"/>
      <w:pPr>
        <w:ind w:left="2160" w:hanging="180"/>
      </w:pPr>
    </w:lvl>
    <w:lvl w:ilvl="3" w:tplc="0F3E0BBC">
      <w:start w:val="1"/>
      <w:numFmt w:val="decimal"/>
      <w:lvlText w:val="%4."/>
      <w:lvlJc w:val="left"/>
      <w:pPr>
        <w:ind w:left="2880" w:hanging="360"/>
      </w:pPr>
    </w:lvl>
    <w:lvl w:ilvl="4" w:tplc="9E1C4724">
      <w:start w:val="1"/>
      <w:numFmt w:val="lowerLetter"/>
      <w:lvlText w:val="%5."/>
      <w:lvlJc w:val="left"/>
      <w:pPr>
        <w:ind w:left="3600" w:hanging="360"/>
      </w:pPr>
    </w:lvl>
    <w:lvl w:ilvl="5" w:tplc="9114441E">
      <w:start w:val="1"/>
      <w:numFmt w:val="lowerRoman"/>
      <w:lvlText w:val="%6."/>
      <w:lvlJc w:val="right"/>
      <w:pPr>
        <w:ind w:left="4320" w:hanging="180"/>
      </w:pPr>
    </w:lvl>
    <w:lvl w:ilvl="6" w:tplc="BD46C14E">
      <w:start w:val="1"/>
      <w:numFmt w:val="decimal"/>
      <w:lvlText w:val="%7."/>
      <w:lvlJc w:val="left"/>
      <w:pPr>
        <w:ind w:left="5040" w:hanging="360"/>
      </w:pPr>
    </w:lvl>
    <w:lvl w:ilvl="7" w:tplc="4934A6F6">
      <w:start w:val="1"/>
      <w:numFmt w:val="lowerLetter"/>
      <w:lvlText w:val="%8."/>
      <w:lvlJc w:val="left"/>
      <w:pPr>
        <w:ind w:left="5760" w:hanging="360"/>
      </w:pPr>
    </w:lvl>
    <w:lvl w:ilvl="8" w:tplc="C9A433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0EC2"/>
    <w:multiLevelType w:val="hybridMultilevel"/>
    <w:tmpl w:val="D8224B04"/>
    <w:lvl w:ilvl="0" w:tplc="51C8F4EA">
      <w:start w:val="1"/>
      <w:numFmt w:val="decimal"/>
      <w:lvlText w:val="%1)"/>
      <w:lvlJc w:val="left"/>
      <w:pPr>
        <w:ind w:left="1080" w:hanging="360"/>
      </w:pPr>
    </w:lvl>
    <w:lvl w:ilvl="1" w:tplc="6B087252">
      <w:start w:val="1"/>
      <w:numFmt w:val="lowerLetter"/>
      <w:lvlText w:val="%2."/>
      <w:lvlJc w:val="left"/>
      <w:pPr>
        <w:ind w:left="1800" w:hanging="360"/>
      </w:pPr>
    </w:lvl>
    <w:lvl w:ilvl="2" w:tplc="4704E95C">
      <w:start w:val="1"/>
      <w:numFmt w:val="lowerRoman"/>
      <w:lvlText w:val="%3."/>
      <w:lvlJc w:val="right"/>
      <w:pPr>
        <w:ind w:left="2520" w:hanging="180"/>
      </w:pPr>
    </w:lvl>
    <w:lvl w:ilvl="3" w:tplc="F8F805FE">
      <w:start w:val="1"/>
      <w:numFmt w:val="decimal"/>
      <w:lvlText w:val="%4."/>
      <w:lvlJc w:val="left"/>
      <w:pPr>
        <w:ind w:left="3240" w:hanging="360"/>
      </w:pPr>
    </w:lvl>
    <w:lvl w:ilvl="4" w:tplc="65364F0C">
      <w:start w:val="1"/>
      <w:numFmt w:val="lowerLetter"/>
      <w:lvlText w:val="%5."/>
      <w:lvlJc w:val="left"/>
      <w:pPr>
        <w:ind w:left="3960" w:hanging="360"/>
      </w:pPr>
    </w:lvl>
    <w:lvl w:ilvl="5" w:tplc="12A00AA2">
      <w:start w:val="1"/>
      <w:numFmt w:val="lowerRoman"/>
      <w:lvlText w:val="%6."/>
      <w:lvlJc w:val="right"/>
      <w:pPr>
        <w:ind w:left="4680" w:hanging="180"/>
      </w:pPr>
    </w:lvl>
    <w:lvl w:ilvl="6" w:tplc="2D240F06">
      <w:start w:val="1"/>
      <w:numFmt w:val="decimal"/>
      <w:lvlText w:val="%7."/>
      <w:lvlJc w:val="left"/>
      <w:pPr>
        <w:ind w:left="5400" w:hanging="360"/>
      </w:pPr>
    </w:lvl>
    <w:lvl w:ilvl="7" w:tplc="A0A6A5CE">
      <w:start w:val="1"/>
      <w:numFmt w:val="lowerLetter"/>
      <w:lvlText w:val="%8."/>
      <w:lvlJc w:val="left"/>
      <w:pPr>
        <w:ind w:left="6120" w:hanging="360"/>
      </w:pPr>
    </w:lvl>
    <w:lvl w:ilvl="8" w:tplc="803C1EE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A0D36"/>
    <w:multiLevelType w:val="hybridMultilevel"/>
    <w:tmpl w:val="2676E984"/>
    <w:lvl w:ilvl="0" w:tplc="F9C0E4F0">
      <w:start w:val="1"/>
      <w:numFmt w:val="decimal"/>
      <w:lvlText w:val="%1."/>
      <w:lvlJc w:val="left"/>
      <w:pPr>
        <w:ind w:left="720" w:hanging="360"/>
      </w:pPr>
    </w:lvl>
    <w:lvl w:ilvl="1" w:tplc="4E7EAC2A">
      <w:start w:val="1"/>
      <w:numFmt w:val="lowerLetter"/>
      <w:lvlText w:val="%2."/>
      <w:lvlJc w:val="left"/>
      <w:pPr>
        <w:ind w:left="1440" w:hanging="360"/>
      </w:pPr>
    </w:lvl>
    <w:lvl w:ilvl="2" w:tplc="4468D866">
      <w:start w:val="1"/>
      <w:numFmt w:val="lowerRoman"/>
      <w:lvlText w:val="%3."/>
      <w:lvlJc w:val="right"/>
      <w:pPr>
        <w:ind w:left="2160" w:hanging="180"/>
      </w:pPr>
    </w:lvl>
    <w:lvl w:ilvl="3" w:tplc="6DB2AF1C">
      <w:start w:val="1"/>
      <w:numFmt w:val="decimal"/>
      <w:lvlText w:val="%4."/>
      <w:lvlJc w:val="left"/>
      <w:pPr>
        <w:ind w:left="2880" w:hanging="360"/>
      </w:pPr>
    </w:lvl>
    <w:lvl w:ilvl="4" w:tplc="3918CF10">
      <w:start w:val="1"/>
      <w:numFmt w:val="lowerLetter"/>
      <w:lvlText w:val="%5."/>
      <w:lvlJc w:val="left"/>
      <w:pPr>
        <w:ind w:left="3600" w:hanging="360"/>
      </w:pPr>
    </w:lvl>
    <w:lvl w:ilvl="5" w:tplc="54B8B00C">
      <w:start w:val="1"/>
      <w:numFmt w:val="lowerRoman"/>
      <w:lvlText w:val="%6."/>
      <w:lvlJc w:val="right"/>
      <w:pPr>
        <w:ind w:left="4320" w:hanging="180"/>
      </w:pPr>
    </w:lvl>
    <w:lvl w:ilvl="6" w:tplc="7004CF2A">
      <w:start w:val="1"/>
      <w:numFmt w:val="decimal"/>
      <w:lvlText w:val="%7."/>
      <w:lvlJc w:val="left"/>
      <w:pPr>
        <w:ind w:left="5040" w:hanging="360"/>
      </w:pPr>
    </w:lvl>
    <w:lvl w:ilvl="7" w:tplc="259C2838">
      <w:start w:val="1"/>
      <w:numFmt w:val="lowerLetter"/>
      <w:lvlText w:val="%8."/>
      <w:lvlJc w:val="left"/>
      <w:pPr>
        <w:ind w:left="5760" w:hanging="360"/>
      </w:pPr>
    </w:lvl>
    <w:lvl w:ilvl="8" w:tplc="5A6EC7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15731"/>
    <w:multiLevelType w:val="multilevel"/>
    <w:tmpl w:val="7DC436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8117DD2"/>
    <w:multiLevelType w:val="hybridMultilevel"/>
    <w:tmpl w:val="554EEC6A"/>
    <w:lvl w:ilvl="0" w:tplc="2B5CDA02">
      <w:start w:val="1"/>
      <w:numFmt w:val="decimal"/>
      <w:lvlText w:val="%1)"/>
      <w:lvlJc w:val="left"/>
      <w:pPr>
        <w:ind w:left="1080" w:hanging="360"/>
      </w:pPr>
    </w:lvl>
    <w:lvl w:ilvl="1" w:tplc="3710E028">
      <w:start w:val="1"/>
      <w:numFmt w:val="lowerLetter"/>
      <w:lvlText w:val="%2."/>
      <w:lvlJc w:val="left"/>
      <w:pPr>
        <w:ind w:left="1800" w:hanging="360"/>
      </w:pPr>
    </w:lvl>
    <w:lvl w:ilvl="2" w:tplc="F46EDC70">
      <w:start w:val="1"/>
      <w:numFmt w:val="lowerRoman"/>
      <w:lvlText w:val="%3."/>
      <w:lvlJc w:val="right"/>
      <w:pPr>
        <w:ind w:left="2520" w:hanging="180"/>
      </w:pPr>
    </w:lvl>
    <w:lvl w:ilvl="3" w:tplc="628ABB96">
      <w:start w:val="1"/>
      <w:numFmt w:val="decimal"/>
      <w:lvlText w:val="%4."/>
      <w:lvlJc w:val="left"/>
      <w:pPr>
        <w:ind w:left="3240" w:hanging="360"/>
      </w:pPr>
    </w:lvl>
    <w:lvl w:ilvl="4" w:tplc="203AABD6">
      <w:start w:val="1"/>
      <w:numFmt w:val="lowerLetter"/>
      <w:lvlText w:val="%5."/>
      <w:lvlJc w:val="left"/>
      <w:pPr>
        <w:ind w:left="3960" w:hanging="360"/>
      </w:pPr>
    </w:lvl>
    <w:lvl w:ilvl="5" w:tplc="ABE60362">
      <w:start w:val="1"/>
      <w:numFmt w:val="lowerRoman"/>
      <w:lvlText w:val="%6."/>
      <w:lvlJc w:val="right"/>
      <w:pPr>
        <w:ind w:left="4680" w:hanging="180"/>
      </w:pPr>
    </w:lvl>
    <w:lvl w:ilvl="6" w:tplc="31304E3C">
      <w:start w:val="1"/>
      <w:numFmt w:val="decimal"/>
      <w:lvlText w:val="%7."/>
      <w:lvlJc w:val="left"/>
      <w:pPr>
        <w:ind w:left="5400" w:hanging="360"/>
      </w:pPr>
    </w:lvl>
    <w:lvl w:ilvl="7" w:tplc="D0B8D0B0">
      <w:start w:val="1"/>
      <w:numFmt w:val="lowerLetter"/>
      <w:lvlText w:val="%8."/>
      <w:lvlJc w:val="left"/>
      <w:pPr>
        <w:ind w:left="6120" w:hanging="360"/>
      </w:pPr>
    </w:lvl>
    <w:lvl w:ilvl="8" w:tplc="879618AA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B46FA8"/>
    <w:multiLevelType w:val="multilevel"/>
    <w:tmpl w:val="94EA5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8B60233"/>
    <w:multiLevelType w:val="hybridMultilevel"/>
    <w:tmpl w:val="FF82D90C"/>
    <w:lvl w:ilvl="0" w:tplc="5A281126">
      <w:start w:val="1"/>
      <w:numFmt w:val="decimal"/>
      <w:lvlText w:val="%1."/>
      <w:lvlJc w:val="left"/>
      <w:pPr>
        <w:ind w:left="720" w:hanging="360"/>
      </w:pPr>
    </w:lvl>
    <w:lvl w:ilvl="1" w:tplc="4CFCF45E">
      <w:start w:val="1"/>
      <w:numFmt w:val="lowerLetter"/>
      <w:lvlText w:val="%2."/>
      <w:lvlJc w:val="left"/>
      <w:pPr>
        <w:ind w:left="1440" w:hanging="360"/>
      </w:pPr>
    </w:lvl>
    <w:lvl w:ilvl="2" w:tplc="6FCC7D20">
      <w:start w:val="1"/>
      <w:numFmt w:val="lowerRoman"/>
      <w:lvlText w:val="%3."/>
      <w:lvlJc w:val="right"/>
      <w:pPr>
        <w:ind w:left="2160" w:hanging="180"/>
      </w:pPr>
    </w:lvl>
    <w:lvl w:ilvl="3" w:tplc="B28C2F30">
      <w:start w:val="1"/>
      <w:numFmt w:val="decimal"/>
      <w:lvlText w:val="%4."/>
      <w:lvlJc w:val="left"/>
      <w:pPr>
        <w:ind w:left="2880" w:hanging="360"/>
      </w:pPr>
    </w:lvl>
    <w:lvl w:ilvl="4" w:tplc="8F1CA3BC">
      <w:start w:val="1"/>
      <w:numFmt w:val="lowerLetter"/>
      <w:lvlText w:val="%5."/>
      <w:lvlJc w:val="left"/>
      <w:pPr>
        <w:ind w:left="3600" w:hanging="360"/>
      </w:pPr>
    </w:lvl>
    <w:lvl w:ilvl="5" w:tplc="D7B25286">
      <w:start w:val="1"/>
      <w:numFmt w:val="lowerRoman"/>
      <w:lvlText w:val="%6."/>
      <w:lvlJc w:val="right"/>
      <w:pPr>
        <w:ind w:left="4320" w:hanging="180"/>
      </w:pPr>
    </w:lvl>
    <w:lvl w:ilvl="6" w:tplc="4DE4BA38">
      <w:start w:val="1"/>
      <w:numFmt w:val="decimal"/>
      <w:lvlText w:val="%7."/>
      <w:lvlJc w:val="left"/>
      <w:pPr>
        <w:ind w:left="5040" w:hanging="360"/>
      </w:pPr>
    </w:lvl>
    <w:lvl w:ilvl="7" w:tplc="8646B3FC">
      <w:start w:val="1"/>
      <w:numFmt w:val="lowerLetter"/>
      <w:lvlText w:val="%8."/>
      <w:lvlJc w:val="left"/>
      <w:pPr>
        <w:ind w:left="5760" w:hanging="360"/>
      </w:pPr>
    </w:lvl>
    <w:lvl w:ilvl="8" w:tplc="3B4050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719EC"/>
    <w:multiLevelType w:val="hybridMultilevel"/>
    <w:tmpl w:val="5F1C3FAC"/>
    <w:lvl w:ilvl="0" w:tplc="3E4EB3C0">
      <w:start w:val="1"/>
      <w:numFmt w:val="decimal"/>
      <w:lvlText w:val="%1."/>
      <w:lvlJc w:val="left"/>
      <w:pPr>
        <w:ind w:left="720" w:hanging="360"/>
      </w:pPr>
    </w:lvl>
    <w:lvl w:ilvl="1" w:tplc="79181F50">
      <w:start w:val="1"/>
      <w:numFmt w:val="lowerLetter"/>
      <w:lvlText w:val="%2."/>
      <w:lvlJc w:val="left"/>
      <w:pPr>
        <w:ind w:left="1440" w:hanging="360"/>
      </w:pPr>
    </w:lvl>
    <w:lvl w:ilvl="2" w:tplc="B890E49C">
      <w:start w:val="1"/>
      <w:numFmt w:val="lowerRoman"/>
      <w:lvlText w:val="%3."/>
      <w:lvlJc w:val="right"/>
      <w:pPr>
        <w:ind w:left="2160" w:hanging="180"/>
      </w:pPr>
    </w:lvl>
    <w:lvl w:ilvl="3" w:tplc="FBB87422">
      <w:start w:val="1"/>
      <w:numFmt w:val="decimal"/>
      <w:lvlText w:val="%4."/>
      <w:lvlJc w:val="left"/>
      <w:pPr>
        <w:ind w:left="2880" w:hanging="360"/>
      </w:pPr>
    </w:lvl>
    <w:lvl w:ilvl="4" w:tplc="CCD81C9A">
      <w:start w:val="1"/>
      <w:numFmt w:val="lowerLetter"/>
      <w:lvlText w:val="%5."/>
      <w:lvlJc w:val="left"/>
      <w:pPr>
        <w:ind w:left="3600" w:hanging="360"/>
      </w:pPr>
    </w:lvl>
    <w:lvl w:ilvl="5" w:tplc="82D8FF68">
      <w:start w:val="1"/>
      <w:numFmt w:val="lowerRoman"/>
      <w:lvlText w:val="%6."/>
      <w:lvlJc w:val="right"/>
      <w:pPr>
        <w:ind w:left="4320" w:hanging="180"/>
      </w:pPr>
    </w:lvl>
    <w:lvl w:ilvl="6" w:tplc="FB906302">
      <w:start w:val="1"/>
      <w:numFmt w:val="decimal"/>
      <w:lvlText w:val="%7."/>
      <w:lvlJc w:val="left"/>
      <w:pPr>
        <w:ind w:left="5040" w:hanging="360"/>
      </w:pPr>
    </w:lvl>
    <w:lvl w:ilvl="7" w:tplc="9F6C7258">
      <w:start w:val="1"/>
      <w:numFmt w:val="lowerLetter"/>
      <w:lvlText w:val="%8."/>
      <w:lvlJc w:val="left"/>
      <w:pPr>
        <w:ind w:left="5760" w:hanging="360"/>
      </w:pPr>
    </w:lvl>
    <w:lvl w:ilvl="8" w:tplc="066CD9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623F8"/>
    <w:multiLevelType w:val="hybridMultilevel"/>
    <w:tmpl w:val="5700FA10"/>
    <w:lvl w:ilvl="0" w:tplc="03846028">
      <w:start w:val="1"/>
      <w:numFmt w:val="decimal"/>
      <w:lvlText w:val="%1)"/>
      <w:lvlJc w:val="left"/>
      <w:pPr>
        <w:ind w:left="1080" w:hanging="360"/>
      </w:pPr>
    </w:lvl>
    <w:lvl w:ilvl="1" w:tplc="6834EE92">
      <w:start w:val="1"/>
      <w:numFmt w:val="lowerLetter"/>
      <w:lvlText w:val="%2."/>
      <w:lvlJc w:val="left"/>
      <w:pPr>
        <w:ind w:left="1800" w:hanging="360"/>
      </w:pPr>
    </w:lvl>
    <w:lvl w:ilvl="2" w:tplc="EDD48920">
      <w:start w:val="1"/>
      <w:numFmt w:val="lowerRoman"/>
      <w:lvlText w:val="%3."/>
      <w:lvlJc w:val="right"/>
      <w:pPr>
        <w:ind w:left="2520" w:hanging="180"/>
      </w:pPr>
    </w:lvl>
    <w:lvl w:ilvl="3" w:tplc="2B722CEA">
      <w:start w:val="1"/>
      <w:numFmt w:val="decimal"/>
      <w:lvlText w:val="%4."/>
      <w:lvlJc w:val="left"/>
      <w:pPr>
        <w:ind w:left="3240" w:hanging="360"/>
      </w:pPr>
    </w:lvl>
    <w:lvl w:ilvl="4" w:tplc="835CD486">
      <w:start w:val="1"/>
      <w:numFmt w:val="lowerLetter"/>
      <w:lvlText w:val="%5."/>
      <w:lvlJc w:val="left"/>
      <w:pPr>
        <w:ind w:left="3960" w:hanging="360"/>
      </w:pPr>
    </w:lvl>
    <w:lvl w:ilvl="5" w:tplc="CC067EFA">
      <w:start w:val="1"/>
      <w:numFmt w:val="lowerRoman"/>
      <w:lvlText w:val="%6."/>
      <w:lvlJc w:val="right"/>
      <w:pPr>
        <w:ind w:left="4680" w:hanging="180"/>
      </w:pPr>
    </w:lvl>
    <w:lvl w:ilvl="6" w:tplc="D9D67462">
      <w:start w:val="1"/>
      <w:numFmt w:val="decimal"/>
      <w:lvlText w:val="%7."/>
      <w:lvlJc w:val="left"/>
      <w:pPr>
        <w:ind w:left="5400" w:hanging="360"/>
      </w:pPr>
    </w:lvl>
    <w:lvl w:ilvl="7" w:tplc="384AEB04">
      <w:start w:val="1"/>
      <w:numFmt w:val="lowerLetter"/>
      <w:lvlText w:val="%8."/>
      <w:lvlJc w:val="left"/>
      <w:pPr>
        <w:ind w:left="6120" w:hanging="360"/>
      </w:pPr>
    </w:lvl>
    <w:lvl w:ilvl="8" w:tplc="75B2A252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0D39C5"/>
    <w:multiLevelType w:val="hybridMultilevel"/>
    <w:tmpl w:val="D18C67DA"/>
    <w:lvl w:ilvl="0" w:tplc="7FAA0250">
      <w:start w:val="1"/>
      <w:numFmt w:val="decimal"/>
      <w:lvlText w:val="%1)"/>
      <w:lvlJc w:val="left"/>
      <w:pPr>
        <w:ind w:left="1080" w:hanging="360"/>
      </w:pPr>
    </w:lvl>
    <w:lvl w:ilvl="1" w:tplc="306044D6">
      <w:start w:val="1"/>
      <w:numFmt w:val="lowerLetter"/>
      <w:lvlText w:val="%2."/>
      <w:lvlJc w:val="left"/>
      <w:pPr>
        <w:ind w:left="1800" w:hanging="360"/>
      </w:pPr>
    </w:lvl>
    <w:lvl w:ilvl="2" w:tplc="4AC0FEF4">
      <w:start w:val="1"/>
      <w:numFmt w:val="lowerRoman"/>
      <w:lvlText w:val="%3."/>
      <w:lvlJc w:val="right"/>
      <w:pPr>
        <w:ind w:left="2520" w:hanging="180"/>
      </w:pPr>
    </w:lvl>
    <w:lvl w:ilvl="3" w:tplc="9CCE222A">
      <w:start w:val="1"/>
      <w:numFmt w:val="decimal"/>
      <w:lvlText w:val="%4."/>
      <w:lvlJc w:val="left"/>
      <w:pPr>
        <w:ind w:left="3240" w:hanging="360"/>
      </w:pPr>
    </w:lvl>
    <w:lvl w:ilvl="4" w:tplc="1F403C60">
      <w:start w:val="1"/>
      <w:numFmt w:val="lowerLetter"/>
      <w:lvlText w:val="%5."/>
      <w:lvlJc w:val="left"/>
      <w:pPr>
        <w:ind w:left="3960" w:hanging="360"/>
      </w:pPr>
    </w:lvl>
    <w:lvl w:ilvl="5" w:tplc="A60A7054">
      <w:start w:val="1"/>
      <w:numFmt w:val="lowerRoman"/>
      <w:lvlText w:val="%6."/>
      <w:lvlJc w:val="right"/>
      <w:pPr>
        <w:ind w:left="4680" w:hanging="180"/>
      </w:pPr>
    </w:lvl>
    <w:lvl w:ilvl="6" w:tplc="C5F287EE">
      <w:start w:val="1"/>
      <w:numFmt w:val="decimal"/>
      <w:lvlText w:val="%7."/>
      <w:lvlJc w:val="left"/>
      <w:pPr>
        <w:ind w:left="5400" w:hanging="360"/>
      </w:pPr>
    </w:lvl>
    <w:lvl w:ilvl="7" w:tplc="4A5E4494">
      <w:start w:val="1"/>
      <w:numFmt w:val="lowerLetter"/>
      <w:lvlText w:val="%8."/>
      <w:lvlJc w:val="left"/>
      <w:pPr>
        <w:ind w:left="6120" w:hanging="360"/>
      </w:pPr>
    </w:lvl>
    <w:lvl w:ilvl="8" w:tplc="40B6D32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lvl w:ilvl="0" w:tplc="EF4E188C" w:tentative="1">
        <w:numFmt w:val="decimal"/>
        <w:lvlText w:val=""/>
        <w:lvlJc w:val="left"/>
      </w:lvl>
    </w:lvlOverride>
    <w:lvlOverride w:ilvl="1">
      <w:lvl w:ilvl="1" w:tplc="17C2CD42" w:tentative="1">
        <w:numFmt w:val="decimal"/>
        <w:lvlText w:val=""/>
        <w:lvlJc w:val="left"/>
      </w:lvl>
    </w:lvlOverride>
    <w:lvlOverride w:ilvl="2">
      <w:lvl w:ilvl="2" w:tplc="1682F03E" w:tentative="1">
        <w:numFmt w:val="decimal"/>
        <w:lvlText w:val=""/>
        <w:lvlJc w:val="left"/>
      </w:lvl>
    </w:lvlOverride>
    <w:lvlOverride w:ilvl="3">
      <w:lvl w:ilvl="3" w:tplc="0F3E0BBC" w:tentative="1">
        <w:numFmt w:val="decimal"/>
        <w:lvlText w:val=""/>
        <w:lvlJc w:val="left"/>
      </w:lvl>
    </w:lvlOverride>
    <w:lvlOverride w:ilvl="4">
      <w:lvl w:ilvl="4" w:tplc="9E1C4724" w:tentative="1">
        <w:numFmt w:val="decimal"/>
        <w:lvlText w:val=""/>
        <w:lvlJc w:val="left"/>
      </w:lvl>
    </w:lvlOverride>
    <w:lvlOverride w:ilvl="5">
      <w:lvl w:ilvl="5" w:tplc="9114441E" w:tentative="1">
        <w:numFmt w:val="decimal"/>
        <w:lvlText w:val=""/>
        <w:lvlJc w:val="left"/>
      </w:lvl>
    </w:lvlOverride>
    <w:lvlOverride w:ilvl="6">
      <w:lvl w:ilvl="6" w:tplc="BD46C14E" w:tentative="1">
        <w:numFmt w:val="decimal"/>
        <w:lvlText w:val=""/>
        <w:lvlJc w:val="left"/>
      </w:lvl>
    </w:lvlOverride>
    <w:lvlOverride w:ilvl="7">
      <w:lvl w:ilvl="7" w:tplc="4934A6F6" w:tentative="1">
        <w:numFmt w:val="decimal"/>
        <w:lvlText w:val=""/>
        <w:lvlJc w:val="left"/>
      </w:lvl>
    </w:lvlOverride>
    <w:lvlOverride w:ilvl="8">
      <w:lvl w:ilvl="8" w:tplc="C9A433E2" w:tentative="1">
        <w:numFmt w:val="decimal"/>
        <w:lvlText w:val=""/>
        <w:lvlJc w:val="left"/>
      </w:lvl>
    </w:lvlOverride>
  </w:num>
  <w:num w:numId="4">
    <w:abstractNumId w:val="6"/>
    <w:lvlOverride w:ilvl="0">
      <w:lvl w:ilvl="0" w:tplc="5A281126" w:tentative="1">
        <w:numFmt w:val="decimal"/>
        <w:lvlText w:val=""/>
        <w:lvlJc w:val="left"/>
      </w:lvl>
    </w:lvlOverride>
    <w:lvlOverride w:ilvl="1">
      <w:lvl w:ilvl="1" w:tplc="4CFCF45E" w:tentative="1">
        <w:numFmt w:val="decimal"/>
        <w:lvlText w:val=""/>
        <w:lvlJc w:val="left"/>
      </w:lvl>
    </w:lvlOverride>
    <w:lvlOverride w:ilvl="2">
      <w:lvl w:ilvl="2" w:tplc="6FCC7D20" w:tentative="1">
        <w:numFmt w:val="decimal"/>
        <w:lvlText w:val=""/>
        <w:lvlJc w:val="left"/>
      </w:lvl>
    </w:lvlOverride>
    <w:lvlOverride w:ilvl="3">
      <w:lvl w:ilvl="3" w:tplc="B28C2F30" w:tentative="1">
        <w:numFmt w:val="decimal"/>
        <w:lvlText w:val=""/>
        <w:lvlJc w:val="left"/>
      </w:lvl>
    </w:lvlOverride>
    <w:lvlOverride w:ilvl="4">
      <w:lvl w:ilvl="4" w:tplc="8F1CA3BC" w:tentative="1">
        <w:numFmt w:val="decimal"/>
        <w:lvlText w:val=""/>
        <w:lvlJc w:val="left"/>
      </w:lvl>
    </w:lvlOverride>
    <w:lvlOverride w:ilvl="5">
      <w:lvl w:ilvl="5" w:tplc="D7B25286" w:tentative="1">
        <w:numFmt w:val="decimal"/>
        <w:lvlText w:val=""/>
        <w:lvlJc w:val="left"/>
      </w:lvl>
    </w:lvlOverride>
    <w:lvlOverride w:ilvl="6">
      <w:lvl w:ilvl="6" w:tplc="4DE4BA38" w:tentative="1">
        <w:numFmt w:val="decimal"/>
        <w:lvlText w:val=""/>
        <w:lvlJc w:val="left"/>
      </w:lvl>
    </w:lvlOverride>
    <w:lvlOverride w:ilvl="7">
      <w:lvl w:ilvl="7" w:tplc="8646B3FC" w:tentative="1">
        <w:numFmt w:val="decimal"/>
        <w:lvlText w:val=""/>
        <w:lvlJc w:val="left"/>
      </w:lvl>
    </w:lvlOverride>
    <w:lvlOverride w:ilvl="8">
      <w:lvl w:ilvl="8" w:tplc="3B4050AE" w:tentative="1">
        <w:numFmt w:val="decimal"/>
        <w:lvlText w:val=""/>
        <w:lvlJc w:val="left"/>
      </w:lvl>
    </w:lvlOverride>
  </w:num>
  <w:num w:numId="5">
    <w:abstractNumId w:val="4"/>
    <w:lvlOverride w:ilvl="0">
      <w:lvl w:ilvl="0" w:tplc="2B5CDA02">
        <w:start w:val="1"/>
        <w:numFmt w:val="japaneseLegal"/>
        <w:lvlText w:val=""/>
        <w:lvlJc w:val="left"/>
      </w:lvl>
    </w:lvlOverride>
    <w:lvlOverride w:ilvl="1">
      <w:lvl w:ilvl="1" w:tplc="3710E028" w:tentative="1">
        <w:numFmt w:val="decimal"/>
        <w:lvlText w:val=""/>
        <w:lvlJc w:val="left"/>
      </w:lvl>
    </w:lvlOverride>
    <w:lvlOverride w:ilvl="2">
      <w:lvl w:ilvl="2" w:tplc="F46EDC70" w:tentative="1">
        <w:numFmt w:val="decimal"/>
        <w:lvlText w:val=""/>
        <w:lvlJc w:val="left"/>
      </w:lvl>
    </w:lvlOverride>
    <w:lvlOverride w:ilvl="3">
      <w:lvl w:ilvl="3" w:tplc="628ABB96" w:tentative="1">
        <w:numFmt w:val="decimal"/>
        <w:lvlText w:val=""/>
        <w:lvlJc w:val="left"/>
      </w:lvl>
    </w:lvlOverride>
    <w:lvlOverride w:ilvl="4">
      <w:lvl w:ilvl="4" w:tplc="203AABD6" w:tentative="1">
        <w:numFmt w:val="decimal"/>
        <w:lvlText w:val=""/>
        <w:lvlJc w:val="left"/>
      </w:lvl>
    </w:lvlOverride>
    <w:lvlOverride w:ilvl="5">
      <w:lvl w:ilvl="5" w:tplc="ABE60362" w:tentative="1">
        <w:numFmt w:val="decimal"/>
        <w:lvlText w:val=""/>
        <w:lvlJc w:val="left"/>
      </w:lvl>
    </w:lvlOverride>
    <w:lvlOverride w:ilvl="6">
      <w:lvl w:ilvl="6" w:tplc="31304E3C" w:tentative="1">
        <w:numFmt w:val="decimal"/>
        <w:lvlText w:val=""/>
        <w:lvlJc w:val="left"/>
      </w:lvl>
    </w:lvlOverride>
    <w:lvlOverride w:ilvl="7">
      <w:lvl w:ilvl="7" w:tplc="D0B8D0B0" w:tentative="1">
        <w:numFmt w:val="decimal"/>
        <w:lvlText w:val=""/>
        <w:lvlJc w:val="left"/>
      </w:lvl>
    </w:lvlOverride>
    <w:lvlOverride w:ilvl="8">
      <w:lvl w:ilvl="8" w:tplc="879618AA" w:tentative="1">
        <w:numFmt w:val="decimal"/>
        <w:lvlText w:val=""/>
        <w:lvlJc w:val="left"/>
      </w:lvl>
    </w:lvlOverride>
  </w:num>
  <w:num w:numId="6">
    <w:abstractNumId w:val="7"/>
    <w:lvlOverride w:ilvl="0">
      <w:lvl w:ilvl="0" w:tplc="3E4EB3C0" w:tentative="1">
        <w:numFmt w:val="decimal"/>
        <w:lvlText w:val=""/>
        <w:lvlJc w:val="left"/>
      </w:lvl>
    </w:lvlOverride>
    <w:lvlOverride w:ilvl="1">
      <w:lvl w:ilvl="1" w:tplc="79181F50" w:tentative="1">
        <w:numFmt w:val="decimal"/>
        <w:lvlText w:val=""/>
        <w:lvlJc w:val="left"/>
      </w:lvl>
    </w:lvlOverride>
    <w:lvlOverride w:ilvl="2">
      <w:lvl w:ilvl="2" w:tplc="B890E49C" w:tentative="1">
        <w:numFmt w:val="decimal"/>
        <w:lvlText w:val=""/>
        <w:lvlJc w:val="left"/>
      </w:lvl>
    </w:lvlOverride>
    <w:lvlOverride w:ilvl="3">
      <w:lvl w:ilvl="3" w:tplc="FBB87422" w:tentative="1">
        <w:numFmt w:val="decimal"/>
        <w:lvlText w:val=""/>
        <w:lvlJc w:val="left"/>
      </w:lvl>
    </w:lvlOverride>
    <w:lvlOverride w:ilvl="4">
      <w:lvl w:ilvl="4" w:tplc="CCD81C9A" w:tentative="1">
        <w:numFmt w:val="decimal"/>
        <w:lvlText w:val=""/>
        <w:lvlJc w:val="left"/>
      </w:lvl>
    </w:lvlOverride>
    <w:lvlOverride w:ilvl="5">
      <w:lvl w:ilvl="5" w:tplc="82D8FF68" w:tentative="1">
        <w:numFmt w:val="decimal"/>
        <w:lvlText w:val=""/>
        <w:lvlJc w:val="left"/>
      </w:lvl>
    </w:lvlOverride>
    <w:lvlOverride w:ilvl="6">
      <w:lvl w:ilvl="6" w:tplc="FB906302" w:tentative="1">
        <w:numFmt w:val="decimal"/>
        <w:lvlText w:val=""/>
        <w:lvlJc w:val="left"/>
      </w:lvl>
    </w:lvlOverride>
    <w:lvlOverride w:ilvl="7">
      <w:lvl w:ilvl="7" w:tplc="9F6C7258" w:tentative="1">
        <w:numFmt w:val="decimal"/>
        <w:lvlText w:val=""/>
        <w:lvlJc w:val="left"/>
      </w:lvl>
    </w:lvlOverride>
    <w:lvlOverride w:ilvl="8">
      <w:lvl w:ilvl="8" w:tplc="066CD942" w:tentative="1">
        <w:numFmt w:val="decimal"/>
        <w:lvlText w:val=""/>
        <w:lvlJc w:val="left"/>
      </w:lvl>
    </w:lvlOverride>
  </w:num>
  <w:num w:numId="7">
    <w:abstractNumId w:val="2"/>
    <w:lvlOverride w:ilvl="0">
      <w:lvl w:ilvl="0" w:tplc="F9C0E4F0" w:tentative="1">
        <w:numFmt w:val="decimal"/>
        <w:lvlText w:val=""/>
        <w:lvlJc w:val="left"/>
      </w:lvl>
    </w:lvlOverride>
    <w:lvlOverride w:ilvl="1">
      <w:lvl w:ilvl="1" w:tplc="4E7EAC2A" w:tentative="1">
        <w:numFmt w:val="decimal"/>
        <w:lvlText w:val=""/>
        <w:lvlJc w:val="left"/>
      </w:lvl>
    </w:lvlOverride>
    <w:lvlOverride w:ilvl="2">
      <w:lvl w:ilvl="2" w:tplc="4468D866" w:tentative="1">
        <w:numFmt w:val="decimal"/>
        <w:lvlText w:val=""/>
        <w:lvlJc w:val="left"/>
      </w:lvl>
    </w:lvlOverride>
    <w:lvlOverride w:ilvl="3">
      <w:lvl w:ilvl="3" w:tplc="6DB2AF1C" w:tentative="1">
        <w:numFmt w:val="decimal"/>
        <w:lvlText w:val=""/>
        <w:lvlJc w:val="left"/>
      </w:lvl>
    </w:lvlOverride>
    <w:lvlOverride w:ilvl="4">
      <w:lvl w:ilvl="4" w:tplc="3918CF10" w:tentative="1">
        <w:numFmt w:val="decimal"/>
        <w:lvlText w:val=""/>
        <w:lvlJc w:val="left"/>
      </w:lvl>
    </w:lvlOverride>
    <w:lvlOverride w:ilvl="5">
      <w:lvl w:ilvl="5" w:tplc="54B8B00C" w:tentative="1">
        <w:numFmt w:val="decimal"/>
        <w:lvlText w:val=""/>
        <w:lvlJc w:val="left"/>
      </w:lvl>
    </w:lvlOverride>
    <w:lvlOverride w:ilvl="6">
      <w:lvl w:ilvl="6" w:tplc="7004CF2A" w:tentative="1">
        <w:numFmt w:val="decimal"/>
        <w:lvlText w:val=""/>
        <w:lvlJc w:val="left"/>
      </w:lvl>
    </w:lvlOverride>
    <w:lvlOverride w:ilvl="7">
      <w:lvl w:ilvl="7" w:tplc="259C2838" w:tentative="1">
        <w:numFmt w:val="decimal"/>
        <w:lvlText w:val=""/>
        <w:lvlJc w:val="left"/>
      </w:lvl>
    </w:lvlOverride>
    <w:lvlOverride w:ilvl="8">
      <w:lvl w:ilvl="8" w:tplc="5A6EC764" w:tentative="1">
        <w:numFmt w:val="decimal"/>
        <w:lvlText w:val=""/>
        <w:lvlJc w:val="left"/>
      </w:lvl>
    </w:lvlOverride>
  </w:num>
  <w:num w:numId="8">
    <w:abstractNumId w:val="9"/>
    <w:lvlOverride w:ilvl="0">
      <w:lvl w:ilvl="0" w:tplc="7FAA0250">
        <w:start w:val="1"/>
        <w:numFmt w:val="japaneseLegal"/>
        <w:lvlText w:val=""/>
        <w:lvlJc w:val="left"/>
      </w:lvl>
    </w:lvlOverride>
    <w:lvlOverride w:ilvl="1">
      <w:lvl w:ilvl="1" w:tplc="306044D6" w:tentative="1">
        <w:numFmt w:val="decimal"/>
        <w:lvlText w:val=""/>
        <w:lvlJc w:val="left"/>
      </w:lvl>
    </w:lvlOverride>
    <w:lvlOverride w:ilvl="2">
      <w:lvl w:ilvl="2" w:tplc="4AC0FEF4" w:tentative="1">
        <w:numFmt w:val="decimal"/>
        <w:lvlText w:val=""/>
        <w:lvlJc w:val="left"/>
      </w:lvl>
    </w:lvlOverride>
    <w:lvlOverride w:ilvl="3">
      <w:lvl w:ilvl="3" w:tplc="9CCE222A" w:tentative="1">
        <w:numFmt w:val="decimal"/>
        <w:lvlText w:val=""/>
        <w:lvlJc w:val="left"/>
      </w:lvl>
    </w:lvlOverride>
    <w:lvlOverride w:ilvl="4">
      <w:lvl w:ilvl="4" w:tplc="1F403C60" w:tentative="1">
        <w:numFmt w:val="decimal"/>
        <w:lvlText w:val=""/>
        <w:lvlJc w:val="left"/>
      </w:lvl>
    </w:lvlOverride>
    <w:lvlOverride w:ilvl="5">
      <w:lvl w:ilvl="5" w:tplc="A60A7054" w:tentative="1">
        <w:numFmt w:val="decimal"/>
        <w:lvlText w:val=""/>
        <w:lvlJc w:val="left"/>
      </w:lvl>
    </w:lvlOverride>
    <w:lvlOverride w:ilvl="6">
      <w:lvl w:ilvl="6" w:tplc="C5F287EE" w:tentative="1">
        <w:numFmt w:val="decimal"/>
        <w:lvlText w:val=""/>
        <w:lvlJc w:val="left"/>
      </w:lvl>
    </w:lvlOverride>
    <w:lvlOverride w:ilvl="7">
      <w:lvl w:ilvl="7" w:tplc="4A5E4494" w:tentative="1">
        <w:numFmt w:val="decimal"/>
        <w:lvlText w:val=""/>
        <w:lvlJc w:val="left"/>
      </w:lvl>
    </w:lvlOverride>
    <w:lvlOverride w:ilvl="8">
      <w:lvl w:ilvl="8" w:tplc="40B6D32E" w:tentative="1">
        <w:numFmt w:val="decimal"/>
        <w:lvlText w:val=""/>
        <w:lvlJc w:val="left"/>
      </w:lvl>
    </w:lvlOverride>
  </w:num>
  <w:num w:numId="9">
    <w:abstractNumId w:val="1"/>
    <w:lvlOverride w:ilvl="0">
      <w:lvl w:ilvl="0" w:tplc="51C8F4EA">
        <w:start w:val="1"/>
        <w:numFmt w:val="japaneseLegal"/>
        <w:lvlText w:val=""/>
        <w:lvlJc w:val="left"/>
      </w:lvl>
    </w:lvlOverride>
    <w:lvlOverride w:ilvl="1">
      <w:lvl w:ilvl="1" w:tplc="6B087252" w:tentative="1">
        <w:numFmt w:val="decimal"/>
        <w:lvlText w:val=""/>
        <w:lvlJc w:val="left"/>
      </w:lvl>
    </w:lvlOverride>
    <w:lvlOverride w:ilvl="2">
      <w:lvl w:ilvl="2" w:tplc="4704E95C" w:tentative="1">
        <w:numFmt w:val="decimal"/>
        <w:lvlText w:val=""/>
        <w:lvlJc w:val="left"/>
      </w:lvl>
    </w:lvlOverride>
    <w:lvlOverride w:ilvl="3">
      <w:lvl w:ilvl="3" w:tplc="F8F805FE" w:tentative="1">
        <w:numFmt w:val="decimal"/>
        <w:lvlText w:val=""/>
        <w:lvlJc w:val="left"/>
      </w:lvl>
    </w:lvlOverride>
    <w:lvlOverride w:ilvl="4">
      <w:lvl w:ilvl="4" w:tplc="65364F0C" w:tentative="1">
        <w:numFmt w:val="decimal"/>
        <w:lvlText w:val=""/>
        <w:lvlJc w:val="left"/>
      </w:lvl>
    </w:lvlOverride>
    <w:lvlOverride w:ilvl="5">
      <w:lvl w:ilvl="5" w:tplc="12A00AA2" w:tentative="1">
        <w:numFmt w:val="decimal"/>
        <w:lvlText w:val=""/>
        <w:lvlJc w:val="left"/>
      </w:lvl>
    </w:lvlOverride>
    <w:lvlOverride w:ilvl="6">
      <w:lvl w:ilvl="6" w:tplc="2D240F06" w:tentative="1">
        <w:numFmt w:val="decimal"/>
        <w:lvlText w:val=""/>
        <w:lvlJc w:val="left"/>
      </w:lvl>
    </w:lvlOverride>
    <w:lvlOverride w:ilvl="7">
      <w:lvl w:ilvl="7" w:tplc="A0A6A5CE" w:tentative="1">
        <w:numFmt w:val="decimal"/>
        <w:lvlText w:val=""/>
        <w:lvlJc w:val="left"/>
      </w:lvl>
    </w:lvlOverride>
    <w:lvlOverride w:ilvl="8">
      <w:lvl w:ilvl="8" w:tplc="803C1EE0" w:tentative="1">
        <w:numFmt w:val="decimal"/>
        <w:lvlText w:val=""/>
        <w:lvlJc w:val="left"/>
      </w:lvl>
    </w:lvlOverride>
  </w:num>
  <w:num w:numId="10">
    <w:abstractNumId w:val="8"/>
    <w:lvlOverride w:ilvl="0">
      <w:lvl w:ilvl="0" w:tplc="03846028">
        <w:start w:val="1"/>
        <w:numFmt w:val="japaneseLegal"/>
        <w:lvlText w:val=""/>
        <w:lvlJc w:val="left"/>
      </w:lvl>
    </w:lvlOverride>
    <w:lvlOverride w:ilvl="1">
      <w:lvl w:ilvl="1" w:tplc="6834EE92" w:tentative="1">
        <w:numFmt w:val="decimal"/>
        <w:lvlText w:val=""/>
        <w:lvlJc w:val="left"/>
      </w:lvl>
    </w:lvlOverride>
    <w:lvlOverride w:ilvl="2">
      <w:lvl w:ilvl="2" w:tplc="EDD48920" w:tentative="1">
        <w:numFmt w:val="decimal"/>
        <w:lvlText w:val=""/>
        <w:lvlJc w:val="left"/>
      </w:lvl>
    </w:lvlOverride>
    <w:lvlOverride w:ilvl="3">
      <w:lvl w:ilvl="3" w:tplc="2B722CEA" w:tentative="1">
        <w:numFmt w:val="decimal"/>
        <w:lvlText w:val=""/>
        <w:lvlJc w:val="left"/>
      </w:lvl>
    </w:lvlOverride>
    <w:lvlOverride w:ilvl="4">
      <w:lvl w:ilvl="4" w:tplc="835CD486" w:tentative="1">
        <w:numFmt w:val="decimal"/>
        <w:lvlText w:val=""/>
        <w:lvlJc w:val="left"/>
      </w:lvl>
    </w:lvlOverride>
    <w:lvlOverride w:ilvl="5">
      <w:lvl w:ilvl="5" w:tplc="CC067EFA" w:tentative="1">
        <w:numFmt w:val="decimal"/>
        <w:lvlText w:val=""/>
        <w:lvlJc w:val="left"/>
      </w:lvl>
    </w:lvlOverride>
    <w:lvlOverride w:ilvl="6">
      <w:lvl w:ilvl="6" w:tplc="D9D67462" w:tentative="1">
        <w:numFmt w:val="decimal"/>
        <w:lvlText w:val=""/>
        <w:lvlJc w:val="left"/>
      </w:lvl>
    </w:lvlOverride>
    <w:lvlOverride w:ilvl="7">
      <w:lvl w:ilvl="7" w:tplc="384AEB04" w:tentative="1">
        <w:numFmt w:val="decimal"/>
        <w:lvlText w:val=""/>
        <w:lvlJc w:val="left"/>
      </w:lvl>
    </w:lvlOverride>
    <w:lvlOverride w:ilvl="8">
      <w:lvl w:ilvl="8" w:tplc="75B2A252" w:tentative="1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AA"/>
    <w:rsid w:val="0000187C"/>
    <w:rsid w:val="00004DDD"/>
    <w:rsid w:val="00060088"/>
    <w:rsid w:val="0007458B"/>
    <w:rsid w:val="0013203A"/>
    <w:rsid w:val="001559FD"/>
    <w:rsid w:val="003930A9"/>
    <w:rsid w:val="003B1A99"/>
    <w:rsid w:val="004156EE"/>
    <w:rsid w:val="00425756"/>
    <w:rsid w:val="00427C20"/>
    <w:rsid w:val="00443FD0"/>
    <w:rsid w:val="00452829"/>
    <w:rsid w:val="004A7B58"/>
    <w:rsid w:val="004C5B12"/>
    <w:rsid w:val="004D611D"/>
    <w:rsid w:val="005A2A52"/>
    <w:rsid w:val="006400AA"/>
    <w:rsid w:val="00640CD2"/>
    <w:rsid w:val="00721CA0"/>
    <w:rsid w:val="00753BC3"/>
    <w:rsid w:val="007E2973"/>
    <w:rsid w:val="0083741F"/>
    <w:rsid w:val="008A2764"/>
    <w:rsid w:val="0090136E"/>
    <w:rsid w:val="00994767"/>
    <w:rsid w:val="009C5B6E"/>
    <w:rsid w:val="00AC42A5"/>
    <w:rsid w:val="00B53F87"/>
    <w:rsid w:val="00CB6264"/>
    <w:rsid w:val="00CF03E6"/>
    <w:rsid w:val="00D11A53"/>
    <w:rsid w:val="00DB5386"/>
    <w:rsid w:val="00DE0812"/>
    <w:rsid w:val="00EF0A2D"/>
    <w:rsid w:val="00EF16F8"/>
    <w:rsid w:val="00F07674"/>
    <w:rsid w:val="00F17048"/>
    <w:rsid w:val="00F97B51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F7FD"/>
  <w15:docId w15:val="{98426EAA-AB09-4812-9883-B08CD38A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</w:style>
  <w:style w:type="paragraph" w:styleId="1">
    <w:name w:val="heading 1"/>
    <w:basedOn w:val="a"/>
    <w:next w:val="a"/>
    <w:uiPriority w:val="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9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7">
    <w:name w:val="Strong"/>
    <w:uiPriority w:val="22"/>
    <w:qFormat/>
    <w:rPr>
      <w:b/>
      <w:bCs/>
    </w:rPr>
  </w:style>
  <w:style w:type="paragraph" w:styleId="20">
    <w:name w:val="Quote"/>
    <w:link w:val="21"/>
    <w:uiPriority w:val="29"/>
    <w:qFormat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link w:val="a8"/>
    <w:uiPriority w:val="30"/>
    <w:rPr>
      <w:b/>
      <w:bCs/>
      <w:i/>
      <w:iCs/>
      <w:color w:val="4F81BD" w:themeColor="accent1"/>
    </w:rPr>
  </w:style>
  <w:style w:type="character" w:styleId="aa">
    <w:name w:val="Subtle Reference"/>
    <w:uiPriority w:val="31"/>
    <w:qFormat/>
    <w:rPr>
      <w:smallCaps/>
      <w:color w:val="C0504D" w:themeColor="accent2"/>
      <w:u w:val="single"/>
    </w:rPr>
  </w:style>
  <w:style w:type="character" w:styleId="ab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uiPriority w:val="33"/>
    <w:qFormat/>
    <w:rPr>
      <w:b/>
      <w:bCs/>
      <w:smallCaps/>
      <w:spacing w:val="5"/>
    </w:rPr>
  </w:style>
  <w:style w:type="paragraph" w:styleId="ad">
    <w:name w:val="List Paragraph"/>
    <w:uiPriority w:val="34"/>
    <w:qFormat/>
    <w:pPr>
      <w:ind w:left="720"/>
      <w:contextualSpacing/>
    </w:pPr>
  </w:style>
  <w:style w:type="paragraph" w:styleId="ae">
    <w:name w:val="footnote text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unhideWhenUsed/>
    <w:rPr>
      <w:vertAlign w:val="superscript"/>
    </w:rPr>
  </w:style>
  <w:style w:type="paragraph" w:styleId="af1">
    <w:name w:val="endnote text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character" w:styleId="af4">
    <w:name w:val="Hyperlink"/>
    <w:uiPriority w:val="99"/>
    <w:unhideWhenUsed/>
    <w:rPr>
      <w:color w:val="0000FF" w:themeColor="hyperlink"/>
      <w:u w:val="single"/>
    </w:rPr>
  </w:style>
  <w:style w:type="paragraph" w:styleId="af5">
    <w:name w:val="Plain Text"/>
    <w:link w:val="af6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pPr>
      <w:spacing w:line="240" w:lineRule="auto"/>
    </w:pPr>
  </w:style>
  <w:style w:type="character" w:customStyle="1" w:styleId="af8">
    <w:name w:val="Верхний колонтитул Знак"/>
    <w:link w:val="af7"/>
    <w:uiPriority w:val="99"/>
  </w:style>
  <w:style w:type="paragraph" w:styleId="af9">
    <w:name w:val="footer"/>
    <w:link w:val="afa"/>
    <w:uiPriority w:val="99"/>
    <w:unhideWhenUsed/>
    <w:pPr>
      <w:spacing w:line="240" w:lineRule="auto"/>
    </w:pPr>
  </w:style>
  <w:style w:type="character" w:customStyle="1" w:styleId="afa">
    <w:name w:val="Нижний колонтитул Знак"/>
    <w:link w:val="af9"/>
    <w:uiPriority w:val="99"/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itle"/>
    <w:basedOn w:val="a"/>
    <w:next w:val="a"/>
    <w:uiPriority w:val="99"/>
    <w:pPr>
      <w:keepNext/>
      <w:keepLines/>
      <w:spacing w:after="60"/>
    </w:pPr>
    <w:rPr>
      <w:sz w:val="52"/>
      <w:szCs w:val="52"/>
    </w:rPr>
  </w:style>
  <w:style w:type="paragraph" w:styleId="afc">
    <w:name w:val="Subtitle"/>
    <w:basedOn w:val="a"/>
    <w:next w:val="a"/>
    <w:uiPriority w:val="99"/>
    <w:pPr>
      <w:keepNext/>
      <w:keepLines/>
      <w:spacing w:after="320"/>
    </w:pPr>
    <w:rPr>
      <w:color w:val="666666"/>
      <w:sz w:val="30"/>
      <w:szCs w:val="30"/>
    </w:rPr>
  </w:style>
  <w:style w:type="paragraph" w:styleId="afd">
    <w:name w:val="TOC Heading"/>
    <w:basedOn w:val="1"/>
    <w:next w:val="a"/>
    <w:uiPriority w:val="39"/>
    <w:unhideWhenUsed/>
    <w:qFormat/>
    <w:rsid w:val="0042575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425756"/>
    <w:pPr>
      <w:spacing w:after="100"/>
      <w:ind w:left="440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E2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urope/initiatives/who-european-childhood-obesity-surveillance-initiative-(cosi)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stat.gov.ru/storage/mediabank/Zdravoohran-202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ubmed.ncbi.nlm.nih.gov/?term=Bischoff%20SC%5BAuthor%5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111/dom.153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EACA-156D-4240-AF19-BBDB45F1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4691</Words>
  <Characters>26741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Информация о конфликте интересов. Авторы декларируют отсутствие явных и потенциа</vt:lpstr>
    </vt:vector>
  </TitlesOfParts>
  <Company>ФГБУ "НМИЦ эндокринологии" Минздрава России</Company>
  <LinksUpToDate>false</LinksUpToDate>
  <CharactersWithSpaces>31370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Комшилова Ксения Андреевна</dc:creator>
  <cp:lastModifiedBy>Bukovskaya Eva</cp:lastModifiedBy>
  <cp:revision>2</cp:revision>
  <dcterms:created xsi:type="dcterms:W3CDTF">2024-04-25T12:00:00Z</dcterms:created>
  <dcterms:modified xsi:type="dcterms:W3CDTF">2024-04-25T12:00:00Z</dcterms:modified>
</cp:coreProperties>
</file>